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7" w:rsidRPr="00186141" w:rsidRDefault="00A03E87" w:rsidP="00A03E87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السيرة الذاتية الخاصة بالدكتورة/ </w:t>
      </w:r>
      <w:r w:rsidRPr="00186141">
        <w:rPr>
          <w:rFonts w:hint="cs"/>
          <w:b/>
          <w:bCs/>
          <w:sz w:val="36"/>
          <w:szCs w:val="36"/>
          <w:rtl/>
        </w:rPr>
        <w:t>نجلاء كمال حافظ سري</w:t>
      </w:r>
    </w:p>
    <w:p w:rsidR="00A03E87" w:rsidRDefault="00A03E87" w:rsidP="00A03E87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أستاذ مساعد الفاكهة بقسم البساتين كلية الزراعة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جامعة قناة السويس</w:t>
      </w:r>
    </w:p>
    <w:tbl>
      <w:tblPr>
        <w:bidiVisual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9391"/>
      </w:tblGrid>
      <w:tr w:rsidR="00A03E87" w:rsidRPr="009F4BAD" w:rsidTr="00A03E87">
        <w:tc>
          <w:tcPr>
            <w:tcW w:w="10906" w:type="dxa"/>
            <w:gridSpan w:val="2"/>
            <w:vAlign w:val="center"/>
          </w:tcPr>
          <w:p w:rsidR="00A03E87" w:rsidRPr="009F4BAD" w:rsidRDefault="00A03E87" w:rsidP="00A03E87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البيانات الشخصية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9639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نجلاء كمال حافظ سري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2/12/1968م.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محل الميلاد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مصر القديمة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قصر النيل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لأنجلو أمريكان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القاهرة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مصرية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186141">
              <w:rPr>
                <w:rFonts w:hint="cs"/>
                <w:b/>
                <w:bCs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العنوان الدائم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قسم البساتين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 الزراعة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قناة السويس -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إسماعيلية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جمهورية مصر العربية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التليفون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0020643211338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منزل     002011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50561165/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محمول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الفاكس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0020643201793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البريد ال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كترون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</w:rPr>
            </w:pPr>
            <w:r w:rsidRPr="007A0E65">
              <w:rPr>
                <w:b/>
                <w:bCs/>
                <w:sz w:val="32"/>
                <w:szCs w:val="32"/>
              </w:rPr>
              <w:t>nagserry68@yahoo.com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أستاذ مساعد 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الفاكهة -قسم البساتين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 الزراعة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قناة السويس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التخصص العام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بساتين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B845FE">
              <w:rPr>
                <w:rFonts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فاكهة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(معاملات ما بعد الحصاد)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9F4BAD" w:rsidRDefault="00A03E87" w:rsidP="00A03E87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المؤهلات العلمية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بكالوريوس (1990)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بكالوريوس العلوم الزراعية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دور يونيو 1990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 الزراعة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قناة السويس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بتقدير عام جيد جداً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ماجستير</w:t>
            </w:r>
          </w:p>
          <w:p w:rsidR="00A03E87" w:rsidRPr="007A0E65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(فبراير 1998)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ind w:right="26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ماجستير علوم زراعية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كلية الزراعة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قناة السويس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7A0E65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دكتوراه</w:t>
            </w:r>
          </w:p>
          <w:p w:rsidR="00A03E87" w:rsidRPr="007A0E65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28"/>
                <w:szCs w:val="28"/>
                <w:rtl/>
              </w:rPr>
              <w:t>(يناير 2004م)</w:t>
            </w:r>
          </w:p>
        </w:tc>
        <w:tc>
          <w:tcPr>
            <w:tcW w:w="9639" w:type="dxa"/>
          </w:tcPr>
          <w:p w:rsidR="00A03E87" w:rsidRPr="007A0E65" w:rsidRDefault="00A03E87" w:rsidP="00A03E87">
            <w:pPr>
              <w:ind w:right="26"/>
              <w:jc w:val="both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>دكتوراه الفلسفة ف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ي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العلوم الزراعية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بساتين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فاكهة </w:t>
            </w:r>
            <w:r w:rsidRPr="007A0E65">
              <w:rPr>
                <w:b/>
                <w:bCs/>
                <w:sz w:val="32"/>
                <w:szCs w:val="32"/>
                <w:rtl/>
              </w:rPr>
              <w:t>–</w:t>
            </w:r>
            <w:r w:rsidRPr="007A0E65">
              <w:rPr>
                <w:rFonts w:hint="cs"/>
                <w:b/>
                <w:bCs/>
                <w:sz w:val="32"/>
                <w:szCs w:val="32"/>
                <w:rtl/>
              </w:rPr>
              <w:t xml:space="preserve"> جامعة قناة السويس</w:t>
            </w:r>
          </w:p>
        </w:tc>
      </w:tr>
      <w:tr w:rsidR="00A03E87" w:rsidRPr="009F4BAD" w:rsidTr="00A03E87">
        <w:tc>
          <w:tcPr>
            <w:tcW w:w="10906" w:type="dxa"/>
            <w:gridSpan w:val="2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التدرج الوظيفي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معيدة</w:t>
            </w:r>
          </w:p>
        </w:tc>
        <w:tc>
          <w:tcPr>
            <w:tcW w:w="9639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بقسم البساتين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الزراعة -جامعة قناة السويس من23 /2/1993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  <w:tc>
          <w:tcPr>
            <w:tcW w:w="9639" w:type="dxa"/>
          </w:tcPr>
          <w:p w:rsidR="00A03E87" w:rsidRPr="009F4BAD" w:rsidRDefault="00A03E87" w:rsidP="00A03E87">
            <w:pPr>
              <w:jc w:val="both"/>
              <w:rPr>
                <w:sz w:val="32"/>
                <w:szCs w:val="32"/>
                <w:rtl/>
              </w:rPr>
            </w:pP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بقسم البساتين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الزراعة -جامعة قناة السويس من 23/5/1998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مدرس</w:t>
            </w:r>
          </w:p>
        </w:tc>
        <w:tc>
          <w:tcPr>
            <w:tcW w:w="9639" w:type="dxa"/>
          </w:tcPr>
          <w:p w:rsidR="00A03E87" w:rsidRPr="009F4BAD" w:rsidRDefault="00A03E87" w:rsidP="00A03E87">
            <w:pPr>
              <w:jc w:val="both"/>
              <w:rPr>
                <w:sz w:val="32"/>
                <w:szCs w:val="32"/>
                <w:rtl/>
              </w:rPr>
            </w:pP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بقسم البساتين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الزراعة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قناة السويس من 24/2/2004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9639" w:type="dxa"/>
          </w:tcPr>
          <w:p w:rsidR="00A03E87" w:rsidRPr="00BE2C1E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بقسم البساتين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كلية الزراعة </w:t>
            </w:r>
            <w:r w:rsidRPr="00BE2C1E">
              <w:rPr>
                <w:b/>
                <w:bCs/>
                <w:sz w:val="28"/>
                <w:szCs w:val="28"/>
                <w:rtl/>
              </w:rPr>
              <w:t>–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قناة السويس من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>/20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BE2C1E">
              <w:rPr>
                <w:rFonts w:hint="cs"/>
                <w:b/>
                <w:bCs/>
                <w:sz w:val="28"/>
                <w:szCs w:val="28"/>
                <w:rtl/>
              </w:rPr>
              <w:t xml:space="preserve"> وحتى تاريخه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9F4BAD" w:rsidRDefault="00A03E87" w:rsidP="008E7973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النشاط العلم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ي </w:t>
            </w: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والتدريسي</w:t>
            </w:r>
          </w:p>
        </w:tc>
      </w:tr>
      <w:tr w:rsidR="00A03E87" w:rsidRPr="009F4BAD" w:rsidTr="00115A75">
        <w:tc>
          <w:tcPr>
            <w:tcW w:w="1267" w:type="dxa"/>
            <w:vMerge w:val="restart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التدريس لمرحلة البكالوريوس</w:t>
            </w:r>
          </w:p>
        </w:tc>
        <w:tc>
          <w:tcPr>
            <w:tcW w:w="9639" w:type="dxa"/>
          </w:tcPr>
          <w:p w:rsidR="00A03E87" w:rsidRPr="000F3699" w:rsidRDefault="00A03E87" w:rsidP="00A03E87">
            <w:pPr>
              <w:jc w:val="both"/>
              <w:rPr>
                <w:b/>
                <w:bCs/>
                <w:rtl/>
              </w:rPr>
            </w:pPr>
            <w:r w:rsidRPr="000F3699">
              <w:rPr>
                <w:rFonts w:hint="cs"/>
                <w:b/>
                <w:bCs/>
                <w:rtl/>
              </w:rPr>
              <w:t>المشاركة ف</w:t>
            </w:r>
            <w:r>
              <w:rPr>
                <w:rFonts w:hint="cs"/>
                <w:b/>
                <w:bCs/>
                <w:rtl/>
              </w:rPr>
              <w:t>ي</w:t>
            </w:r>
            <w:r w:rsidRPr="000F3699">
              <w:rPr>
                <w:rFonts w:hint="cs"/>
                <w:b/>
                <w:bCs/>
                <w:rtl/>
              </w:rPr>
              <w:t xml:space="preserve"> تدريس الدروس العملية والنظرية لمرحلة البكالوريوس الآتية: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أساسيات البساتين – الفرقة الأولى كلية الزراعة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إعداد وتداول وتخزين الحاصلات البستانية شعبة البساتين– الفرقة الرابعة – كلية الزراعة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إنتاج البساتين الفرقة الثانية – كلية الزراعة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إنتاج الفاكهة مستديمة الخضرة ب – شعبة البساتين– الفرقة الرابعة – كلية الزراعة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إنتاج بساتين خاص الفرقة الرابعة </w:t>
            </w:r>
            <w:r w:rsidRPr="000F36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شعبة</w:t>
            </w: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الأراضي والمياه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إنتاج بساتين خاص الفرقة الثالثة </w:t>
            </w:r>
            <w:r w:rsidRPr="000F36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شعبة</w:t>
            </w: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0F36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إنتاج </w:t>
            </w:r>
            <w:r w:rsidRPr="000F36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زراعي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إنتاج بساتين خاص المستوى الثالث شعبة إدارة أعمال</w:t>
            </w:r>
          </w:p>
        </w:tc>
      </w:tr>
      <w:tr w:rsidR="00A03E87" w:rsidRPr="009F4BAD" w:rsidTr="00115A75">
        <w:tc>
          <w:tcPr>
            <w:tcW w:w="1267" w:type="dxa"/>
            <w:vMerge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9" w:type="dxa"/>
          </w:tcPr>
          <w:p w:rsidR="00A03E87" w:rsidRPr="000F3699" w:rsidRDefault="00A03E87" w:rsidP="00A03E87">
            <w:pPr>
              <w:jc w:val="both"/>
              <w:rPr>
                <w:b/>
                <w:bCs/>
                <w:rtl/>
              </w:rPr>
            </w:pPr>
            <w:r w:rsidRPr="000F3699">
              <w:rPr>
                <w:rFonts w:hint="cs"/>
                <w:b/>
                <w:bCs/>
                <w:rtl/>
              </w:rPr>
              <w:t>- المشاركة ف</w:t>
            </w:r>
            <w:r>
              <w:rPr>
                <w:rFonts w:hint="cs"/>
                <w:b/>
                <w:bCs/>
                <w:rtl/>
              </w:rPr>
              <w:t>ي</w:t>
            </w:r>
            <w:r w:rsidRPr="000F3699">
              <w:rPr>
                <w:rFonts w:hint="cs"/>
                <w:b/>
                <w:bCs/>
                <w:rtl/>
              </w:rPr>
              <w:t xml:space="preserve"> التدريب الصيف</w:t>
            </w:r>
            <w:r>
              <w:rPr>
                <w:rFonts w:hint="cs"/>
                <w:b/>
                <w:bCs/>
                <w:rtl/>
              </w:rPr>
              <w:t>ي</w:t>
            </w:r>
            <w:r w:rsidRPr="000F3699">
              <w:rPr>
                <w:rFonts w:hint="cs"/>
                <w:b/>
                <w:bCs/>
                <w:rtl/>
              </w:rPr>
              <w:t xml:space="preserve"> لطلاب الفرقة الثالثة بالقسم وكذلك طلاب الفرقة الثانية بالكلية منذ يونيو 1990م وحتى تاريخه.</w:t>
            </w:r>
          </w:p>
        </w:tc>
      </w:tr>
      <w:tr w:rsidR="00A03E87" w:rsidRPr="009F4BAD" w:rsidTr="00115A75">
        <w:tc>
          <w:tcPr>
            <w:tcW w:w="1267" w:type="dxa"/>
            <w:vMerge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9" w:type="dxa"/>
          </w:tcPr>
          <w:p w:rsidR="00A03E87" w:rsidRPr="000F3699" w:rsidRDefault="00A03E87" w:rsidP="00A03E87">
            <w:pPr>
              <w:jc w:val="both"/>
              <w:rPr>
                <w:b/>
                <w:bCs/>
                <w:rtl/>
              </w:rPr>
            </w:pPr>
            <w:r w:rsidRPr="000F3699">
              <w:rPr>
                <w:rFonts w:hint="cs"/>
                <w:b/>
                <w:bCs/>
                <w:rtl/>
              </w:rPr>
              <w:t>- المشاركة في الإشراف على المشاريع البحثية (مقرر بحث ومناقشات) لطلاب الفرقة الرابعة بالقسم منذ يونيو 1998 وحتى تاريخه.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التدريس لطلاب الدراسات العليا</w:t>
            </w:r>
          </w:p>
        </w:tc>
        <w:tc>
          <w:tcPr>
            <w:tcW w:w="9639" w:type="dxa"/>
          </w:tcPr>
          <w:p w:rsidR="00A03E87" w:rsidRPr="000F3699" w:rsidRDefault="00A03E87" w:rsidP="00A03E87">
            <w:pPr>
              <w:jc w:val="both"/>
              <w:rPr>
                <w:b/>
                <w:bCs/>
                <w:rtl/>
              </w:rPr>
            </w:pPr>
            <w:r w:rsidRPr="000F3699">
              <w:rPr>
                <w:b/>
                <w:bCs/>
                <w:rtl/>
              </w:rPr>
              <w:t>المشاركة ف</w:t>
            </w:r>
            <w:r>
              <w:rPr>
                <w:rFonts w:hint="cs"/>
                <w:b/>
                <w:bCs/>
                <w:rtl/>
              </w:rPr>
              <w:t>ي</w:t>
            </w:r>
            <w:r w:rsidRPr="000F3699">
              <w:rPr>
                <w:b/>
                <w:bCs/>
                <w:rtl/>
              </w:rPr>
              <w:t xml:space="preserve"> تدريس الدروس العملية </w:t>
            </w:r>
            <w:r w:rsidRPr="000F3699">
              <w:rPr>
                <w:rFonts w:hint="cs"/>
                <w:b/>
                <w:bCs/>
                <w:rtl/>
              </w:rPr>
              <w:t>والنظرية للمقررات</w:t>
            </w:r>
            <w:r w:rsidRPr="000F3699">
              <w:rPr>
                <w:b/>
                <w:bCs/>
                <w:rtl/>
              </w:rPr>
              <w:t xml:space="preserve"> الآتية: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قطف وتداول و</w:t>
            </w: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تخزين محاصيل الفاكهة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تسويق وتصدير المحاصيل البستانية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المانجو متقدم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الموز (متقدم)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الزيتون (متقدم)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النخيل (متقدم)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إنتاج الفاكهة محدودة الانتشار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فاكهة المناطق الاستوائية وشبه الاستوائية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منهجية البحث العلمي</w:t>
            </w:r>
          </w:p>
          <w:p w:rsidR="00A03E87" w:rsidRPr="000F3699" w:rsidRDefault="00A03E87" w:rsidP="00A03E87">
            <w:pPr>
              <w:pStyle w:val="ListParagraph"/>
              <w:numPr>
                <w:ilvl w:val="0"/>
                <w:numId w:val="3"/>
              </w:numPr>
              <w:tabs>
                <w:tab w:val="left" w:pos="713"/>
                <w:tab w:val="left" w:pos="996"/>
              </w:tabs>
              <w:bidi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دراسات خاصة</w:t>
            </w:r>
          </w:p>
          <w:p w:rsidR="00A03E87" w:rsidRPr="007A0E65" w:rsidRDefault="00A03E87" w:rsidP="00A03E87">
            <w:pPr>
              <w:pStyle w:val="ListParagraph"/>
              <w:numPr>
                <w:ilvl w:val="0"/>
                <w:numId w:val="3"/>
              </w:numPr>
              <w:tabs>
                <w:tab w:val="left" w:pos="713"/>
                <w:tab w:val="left" w:pos="996"/>
              </w:tabs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32"/>
                <w:szCs w:val="32"/>
                <w:lang w:bidi="ar-EG"/>
              </w:rPr>
            </w:pPr>
            <w:r w:rsidRPr="000F36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مناقشات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9" w:type="dxa"/>
          </w:tcPr>
          <w:p w:rsidR="00A03E87" w:rsidRDefault="00A03E87" w:rsidP="00A03E87">
            <w:pPr>
              <w:pStyle w:val="ListParagraph"/>
              <w:numPr>
                <w:ilvl w:val="0"/>
                <w:numId w:val="4"/>
              </w:numPr>
              <w:bidi/>
              <w:spacing w:after="0"/>
              <w:ind w:left="290" w:hanging="284"/>
              <w:jc w:val="both"/>
              <w:rPr>
                <w:b/>
                <w:bCs/>
                <w:sz w:val="32"/>
                <w:szCs w:val="32"/>
              </w:rPr>
            </w:pPr>
            <w:r w:rsidRPr="00DF6D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الإشراف على الحلقات النقاشية بالقسم خلال الأعوام 2009/2011م</w:t>
            </w:r>
          </w:p>
          <w:p w:rsidR="00A03E87" w:rsidRPr="00DF6D52" w:rsidRDefault="00A03E87" w:rsidP="00A03E87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459"/>
              </w:tabs>
              <w:bidi/>
              <w:spacing w:after="0"/>
              <w:ind w:firstLine="99"/>
              <w:jc w:val="both"/>
              <w:rPr>
                <w:b/>
                <w:bCs/>
                <w:sz w:val="32"/>
                <w:szCs w:val="32"/>
                <w:rtl/>
              </w:rPr>
            </w:pPr>
            <w:r w:rsidRPr="00DF6D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الإشراف على الحلقات النقاشية بالقسم خلال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عام</w:t>
            </w:r>
            <w:r w:rsidRPr="00DF6D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201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  <w:r w:rsidRPr="00DF6D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A03E87" w:rsidRPr="009F4BAD" w:rsidTr="00115A75">
        <w:trPr>
          <w:trHeight w:val="2023"/>
        </w:trPr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أعمال الامتحانات</w:t>
            </w: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والكونترو</w:t>
            </w:r>
            <w:r w:rsidRPr="009F4BAD">
              <w:rPr>
                <w:b/>
                <w:bCs/>
                <w:sz w:val="32"/>
                <w:szCs w:val="32"/>
                <w:rtl/>
              </w:rPr>
              <w:t>ل</w:t>
            </w:r>
          </w:p>
        </w:tc>
        <w:tc>
          <w:tcPr>
            <w:tcW w:w="9639" w:type="dxa"/>
          </w:tcPr>
          <w:p w:rsidR="00A03E87" w:rsidRDefault="00A03E87" w:rsidP="00A03E87">
            <w:pPr>
              <w:pStyle w:val="ListParagraph"/>
              <w:numPr>
                <w:ilvl w:val="0"/>
                <w:numId w:val="4"/>
              </w:numPr>
              <w:tabs>
                <w:tab w:val="right" w:pos="226"/>
                <w:tab w:val="right" w:pos="316"/>
              </w:tabs>
              <w:bidi/>
              <w:spacing w:after="0" w:line="240" w:lineRule="auto"/>
              <w:ind w:left="288" w:hanging="284"/>
              <w:jc w:val="both"/>
              <w:rPr>
                <w:b/>
                <w:bCs/>
                <w:sz w:val="32"/>
                <w:szCs w:val="32"/>
                <w:lang w:bidi="ar-EG"/>
              </w:rPr>
            </w:pPr>
            <w:r w:rsidRPr="00DF6D52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المشاركة في أعمال الامتحانات والكنترولات النظرية والعملية الآتية: </w:t>
            </w:r>
            <w:r w:rsidRPr="00DF6D52">
              <w:rPr>
                <w:b/>
                <w:bCs/>
                <w:sz w:val="32"/>
                <w:szCs w:val="32"/>
                <w:rtl/>
                <w:lang w:bidi="ar-EG"/>
              </w:rPr>
              <w:t>-</w:t>
            </w:r>
          </w:p>
          <w:p w:rsidR="00A03E87" w:rsidRPr="009D5F77" w:rsidRDefault="00A03E87" w:rsidP="00A03E87">
            <w:pPr>
              <w:pStyle w:val="ListParagraph"/>
              <w:numPr>
                <w:ilvl w:val="0"/>
                <w:numId w:val="7"/>
              </w:numPr>
              <w:tabs>
                <w:tab w:val="right" w:pos="316"/>
                <w:tab w:val="right" w:pos="459"/>
              </w:tabs>
              <w:bidi/>
              <w:spacing w:after="0" w:line="240" w:lineRule="auto"/>
              <w:ind w:hanging="687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الدراسات العليا بكلية الزراعة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قناة السويس 2015م</w:t>
            </w:r>
          </w:p>
          <w:p w:rsidR="00A03E87" w:rsidRPr="009D5F77" w:rsidRDefault="00A03E87" w:rsidP="00A03E87">
            <w:pPr>
              <w:numPr>
                <w:ilvl w:val="0"/>
                <w:numId w:val="7"/>
              </w:numPr>
              <w:ind w:left="459" w:hanging="426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الفرقة الأولى بكلية الزراعة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جامعة قناة السويس 2004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2011م</w:t>
            </w:r>
          </w:p>
          <w:p w:rsidR="00A03E87" w:rsidRPr="009D5F77" w:rsidRDefault="00A03E87" w:rsidP="00A03E87">
            <w:pPr>
              <w:numPr>
                <w:ilvl w:val="0"/>
                <w:numId w:val="7"/>
              </w:numPr>
              <w:ind w:left="459" w:hanging="45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الدراسات العليا بكلية الزراعة -جامعة قناة السويس 2004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2005م</w:t>
            </w:r>
          </w:p>
          <w:p w:rsidR="00A03E87" w:rsidRPr="009D5F77" w:rsidRDefault="00A03E87" w:rsidP="00A03E87">
            <w:pPr>
              <w:numPr>
                <w:ilvl w:val="0"/>
                <w:numId w:val="7"/>
              </w:numPr>
              <w:ind w:left="459" w:hanging="45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الفرقة الثالثة بكلية التربية -جامعة قناة السويس 2005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2006م.</w:t>
            </w:r>
          </w:p>
          <w:p w:rsidR="00A03E87" w:rsidRPr="009D5F77" w:rsidRDefault="00A03E87" w:rsidP="00A03E87">
            <w:pPr>
              <w:numPr>
                <w:ilvl w:val="0"/>
                <w:numId w:val="7"/>
              </w:numPr>
              <w:ind w:left="459" w:hanging="45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الفرقة الثالثة بكلية السياحة والفنادق-جامعة قناة السويس 2006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2007م.</w:t>
            </w:r>
          </w:p>
          <w:p w:rsidR="00A03E87" w:rsidRPr="007A1FB0" w:rsidRDefault="00A03E87" w:rsidP="00A03E87">
            <w:pPr>
              <w:numPr>
                <w:ilvl w:val="0"/>
                <w:numId w:val="7"/>
              </w:numPr>
              <w:ind w:left="459" w:hanging="459"/>
              <w:jc w:val="both"/>
              <w:rPr>
                <w:b/>
                <w:bCs/>
                <w:rtl/>
              </w:rPr>
            </w:pPr>
            <w:proofErr w:type="spellStart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>كنترول</w:t>
            </w:r>
            <w:proofErr w:type="spellEnd"/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الفرقة الثالثة بكلية التجارة -جامعة قناة السويس 2008 </w:t>
            </w:r>
            <w:r w:rsidRPr="009D5F77">
              <w:rPr>
                <w:b/>
                <w:bCs/>
                <w:sz w:val="28"/>
                <w:szCs w:val="28"/>
                <w:rtl/>
              </w:rPr>
              <w:t>–</w:t>
            </w:r>
            <w:r w:rsidRPr="009D5F77">
              <w:rPr>
                <w:rFonts w:hint="cs"/>
                <w:b/>
                <w:bCs/>
                <w:sz w:val="28"/>
                <w:szCs w:val="28"/>
                <w:rtl/>
              </w:rPr>
              <w:t xml:space="preserve"> 2009م</w:t>
            </w:r>
          </w:p>
        </w:tc>
      </w:tr>
      <w:tr w:rsidR="00A03E87" w:rsidRPr="009F4BAD" w:rsidTr="00A03E87">
        <w:tc>
          <w:tcPr>
            <w:tcW w:w="10906" w:type="dxa"/>
            <w:gridSpan w:val="2"/>
            <w:vAlign w:val="center"/>
          </w:tcPr>
          <w:p w:rsidR="00A03E87" w:rsidRPr="009F4BAD" w:rsidRDefault="00A03E87" w:rsidP="008E7973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المؤتمرات العلمية</w:t>
            </w:r>
          </w:p>
        </w:tc>
      </w:tr>
      <w:tr w:rsidR="00A03E87" w:rsidRPr="009F4BAD" w:rsidTr="00115A75">
        <w:trPr>
          <w:trHeight w:val="2443"/>
        </w:trPr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9" w:type="dxa"/>
          </w:tcPr>
          <w:p w:rsidR="00A03E87" w:rsidRPr="00CD3ADF" w:rsidRDefault="00A03E87" w:rsidP="00A03E8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99" w:hanging="35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منسق المؤتمر العربي السابع 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للبساتين والذي عقد بكلية الزراعة -جامعة قناة السويس خلال الفترة من 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مارس 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</w:p>
          <w:p w:rsidR="00A03E87" w:rsidRPr="00CD3ADF" w:rsidRDefault="00A03E87" w:rsidP="00A03E8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99" w:hanging="357"/>
              <w:jc w:val="both"/>
              <w:rPr>
                <w:b/>
                <w:bCs/>
                <w:sz w:val="28"/>
                <w:szCs w:val="28"/>
              </w:rPr>
            </w:pP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المساهمة في الإعداد والتنظيم والاشتراك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ببحث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في المؤتمر العربي السا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بع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للبساتين والذي عقد بكلية الزراعة -جامعة قناة السويس خلال الفترة من 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مارس 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13</w:t>
            </w: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</w:t>
            </w:r>
          </w:p>
          <w:p w:rsidR="00A03E87" w:rsidRPr="00CD3ADF" w:rsidRDefault="00A03E87" w:rsidP="00A03E8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99" w:hanging="35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المساهمة في الإعداد والتنظيم والاشتراك ببحثين في المؤتمر العربي السادس للبساتين والذي عقد بكلية الزراعة -جامعة قناة السويس خلال الفترة من 21-23 مارس 2005م.</w:t>
            </w:r>
          </w:p>
          <w:p w:rsidR="00A03E87" w:rsidRPr="00CD3ADF" w:rsidRDefault="00A03E87" w:rsidP="00A03E87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ind w:left="799" w:hanging="35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0F36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المساهمة في الإعداد والتنظيم وحضور أعمال المؤتمر العربي الخامس للبساتين والذي عقد بكلية الزراعة -جامعة قناة السويس خلال الفترة من 24-28 مارس 2001م.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9F4BAD" w:rsidRDefault="00A03E87" w:rsidP="008E7973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الدورات والندوات</w:t>
            </w:r>
          </w:p>
        </w:tc>
      </w:tr>
      <w:tr w:rsidR="00A03E87" w:rsidRPr="002B0333" w:rsidTr="00115A75">
        <w:tc>
          <w:tcPr>
            <w:tcW w:w="1267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2B0333">
              <w:rPr>
                <w:b/>
                <w:bCs/>
                <w:sz w:val="28"/>
                <w:szCs w:val="28"/>
                <w:rtl/>
              </w:rPr>
              <w:t>تنمية قدرات أعضاء هيئة التدريس</w:t>
            </w:r>
          </w:p>
        </w:tc>
        <w:tc>
          <w:tcPr>
            <w:tcW w:w="9639" w:type="dxa"/>
          </w:tcPr>
          <w:p w:rsidR="009A5CD1" w:rsidRDefault="009A5CD1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 البحث العلمي</w:t>
            </w:r>
          </w:p>
          <w:p w:rsidR="00A03E87" w:rsidRDefault="00A03E87" w:rsidP="009A5CD1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برنامج التحليل الإحصائي الـ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SPSS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تنظيم المؤتمرات 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الإدارة الجامعية 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التخطيط الاستراتيجي 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التدريب على قواعد البيانات العالمية ومحركات البحث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برنامج إدارة الفريق البحثي من 20 -22/11/2012م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CD3ADF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برنامج دور النشر العلمي الدولي 15 -17/4/2013م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برنامج الإعداد المهني التربوي للمعلم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الجامعي 8-25/9/2001م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بكلية التربية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جامعة قناة السويس (السويس)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lastRenderedPageBreak/>
              <w:t xml:space="preserve">أخلاقيات وآداب المهنة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2-4/10/2005م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مهارات التفكير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31/12/2005-2/1/2006م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نظام الساعات المعتمدة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20-22/4/2008م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توكيد الجودة والاعتماد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3-4/5/2006م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أخلاقيات البحث العلمي 5-7/1/2009م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  <w:p w:rsidR="00A03E87" w:rsidRPr="00A03E87" w:rsidRDefault="00A03E87" w:rsidP="00A03E8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نظم الامتحانات وتقويم الطلاب 8-12/1/2009م بمركز تطوير التعليم الجامعي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جامعة قناة السويس بالإسماعيلية</w:t>
            </w:r>
          </w:p>
        </w:tc>
      </w:tr>
      <w:tr w:rsidR="00A03E87" w:rsidRPr="00E651BF" w:rsidTr="00115A75">
        <w:tc>
          <w:tcPr>
            <w:tcW w:w="1267" w:type="dxa"/>
          </w:tcPr>
          <w:p w:rsidR="00A03E87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A03E87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b/>
                <w:bCs/>
                <w:sz w:val="32"/>
                <w:szCs w:val="32"/>
                <w:rtl/>
              </w:rPr>
              <w:t>ورش عمل متخصصة</w:t>
            </w:r>
          </w:p>
        </w:tc>
        <w:tc>
          <w:tcPr>
            <w:tcW w:w="9639" w:type="dxa"/>
            <w:vAlign w:val="center"/>
          </w:tcPr>
          <w:p w:rsidR="00A03E87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الإعداد والتجهيز والتدريب لطلبة الفرقة الرابعة والدراسات العليا خلال ورشة عمل بعنوان تقنيات </w:t>
            </w:r>
            <w:r w:rsidRPr="00137E1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التبريد الأولي والتخزين المبرد لبعض الحاصلات البستانية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2014م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الإعداد والتجهيز والتدريب لطلبة الفرقة الرابعة والدراسات العليا خلال ورشة عمل </w:t>
            </w:r>
            <w:r w:rsidRPr="00137E1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تقليم وتربية كرمة العنب وبعض أنواع أشجار الفاكهة المتساقطة الأوراق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2015م</w:t>
            </w:r>
          </w:p>
          <w:p w:rsidR="00A03E87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الإعداد والتجهيز والتدريب لطلبة الفرقة الرابعة والدراسات العليا خلال ورشة عمل ك</w:t>
            </w:r>
            <w:r w:rsidRPr="00137E1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زيارة علمية لشركة الجبالي فروت بالصالحية الجديدة ضمن مقرر تداول وتخزين وتصدير الحاصلات البستانية لرؤية خطوط الإنتاج وكيفية تداول الحاصلات البستانية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2015م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حضور ندوة متخصصة عن الحديث في إنتاج المانجو والتي عقدت بكلية 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الزراعة -جامعة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قناة السويس في 24/ 2/2009م.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حضور الندوات المتعلقة بالمانجو والتي عقدت خلال فترة مشروع استخدام ونقل التكنولوجيا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ATUT</w:t>
            </w:r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A03E87" w:rsidRPr="0041126D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92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ورشة عمل مكثفة عن عوامل الأمان والجودة في محاصيل الخضر والفاكهة في الفترة من 16 – 18 مارس 1997 المنعقد بواسطة مشروع استخدام ونقل </w:t>
            </w:r>
            <w:proofErr w:type="gramStart"/>
            <w:r w:rsidRPr="002B033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التكنولوجيا </w:t>
            </w:r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.</w:t>
            </w:r>
            <w:proofErr w:type="gramEnd"/>
            <w:r w:rsidRPr="002B03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ATUT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B6689B" w:rsidRDefault="00176B17" w:rsidP="009A5CD1">
            <w:pPr>
              <w:jc w:val="both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>الانتداب:</w:t>
            </w:r>
            <w:r w:rsidR="008E7973">
              <w:rPr>
                <w:rFonts w:hint="cs"/>
                <w:b/>
                <w:bCs/>
                <w:sz w:val="44"/>
                <w:szCs w:val="44"/>
                <w:rtl/>
              </w:rPr>
              <w:t xml:space="preserve"> </w:t>
            </w:r>
            <w:r w:rsidR="008E7973" w:rsidRPr="008E7973">
              <w:rPr>
                <w:rFonts w:hint="cs"/>
                <w:b/>
                <w:bCs/>
                <w:sz w:val="28"/>
                <w:szCs w:val="28"/>
                <w:rtl/>
              </w:rPr>
              <w:t xml:space="preserve">انتدبت كوكيل كلية التمريض لشئون التعليم والطلاب من </w:t>
            </w:r>
            <w:r w:rsidR="003D6D8B">
              <w:rPr>
                <w:rFonts w:hint="cs"/>
                <w:b/>
                <w:bCs/>
                <w:sz w:val="28"/>
                <w:szCs w:val="28"/>
                <w:rtl/>
              </w:rPr>
              <w:t>أغسطس</w:t>
            </w:r>
            <w:r w:rsidR="008E7973" w:rsidRPr="008E7973">
              <w:rPr>
                <w:rFonts w:hint="cs"/>
                <w:b/>
                <w:bCs/>
                <w:sz w:val="28"/>
                <w:szCs w:val="28"/>
                <w:rtl/>
              </w:rPr>
              <w:t xml:space="preserve"> 2015 حتى أغسطس 2016م </w:t>
            </w:r>
          </w:p>
        </w:tc>
      </w:tr>
      <w:tr w:rsidR="008E7973" w:rsidRPr="009F4BAD" w:rsidTr="00A03E87">
        <w:tc>
          <w:tcPr>
            <w:tcW w:w="10906" w:type="dxa"/>
            <w:gridSpan w:val="2"/>
          </w:tcPr>
          <w:p w:rsidR="008E7973" w:rsidRPr="00B6689B" w:rsidRDefault="008E7973" w:rsidP="008E7973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الندوات وورش العمل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9639" w:type="dxa"/>
          </w:tcPr>
          <w:p w:rsidR="00A03E87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  <w:tab w:val="right" w:pos="1280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الحصول على شهادة ال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ILTS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الدولية من المركز الثقافي البريطاني بالقاهرة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2013م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  <w:tab w:val="right" w:pos="1280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اجتماع منسقي وفريق معايير الاعتماد والفريق التنفيذي لوحدة الجودة 24/5/2011م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حضور ورشة التحليل الإحصائي باستخدام البرنامج الجاهز 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SPSS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خلال الفترة من الاثنين 21/3/2011 حتى الثلاثاء 22/3/2011م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924" w:hanging="7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إعداد مقرر الكتروني 1/3/2011م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دورة تدريبية على جهاز الماسح الضوئي الالكتروني المستخدم في تحليل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الاستب</w:t>
            </w:r>
            <w:r w:rsidRPr="000C5A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يانات2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0</w:t>
            </w:r>
            <w:proofErr w:type="gramEnd"/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/10/2010م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تطبيق نظام الجودة الشاملة لمؤسسات التعليم العالي 27/9/2010م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حضور ورشة العمل الخاصة بأساسيات </w:t>
            </w:r>
            <w:r w:rsidRPr="000C5A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البيو تكنولوجي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والهندسة الوراثية في الفترة من 4 – 6 مايو 2010م.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  <w:tab w:val="right" w:pos="1280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توصيف وتقرير البرامج الأكاديمية 7/3/2010م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الحصول على </w:t>
            </w:r>
            <w:r w:rsidRPr="000C5A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التوفل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المحلي محققه 5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0 نقطة في الفترة 17/7/2001م حتى 12/9/2001م من معمل اللغة بجامعة قناة السويس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حضور كورس تفاعلات 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PCR 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 وتطبيقات عليها في المعمل المركزي لبحوث الثروة السمكية بالعباسة.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9"/>
              </w:numPr>
              <w:tabs>
                <w:tab w:val="right" w:pos="459"/>
              </w:tabs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حضور ندوة عن تكنولوجيا التطعيم في محاصيل الخضر والتي عقدت بجامعة قناة السويس في 12/12/1998م.</w:t>
            </w:r>
          </w:p>
          <w:p w:rsidR="00A03E87" w:rsidRPr="002B0333" w:rsidRDefault="00A03E87" w:rsidP="00A03E87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ind w:left="459" w:hanging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حضور دورة تدريبية على </w:t>
            </w:r>
            <w:r w:rsidRPr="000C5A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برامج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Photoshop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،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Flash and dream weaver </w:t>
            </w:r>
            <w:r w:rsidRPr="000C5A7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بمركز</w:t>
            </w:r>
            <w:r w:rsidRPr="000C5A7B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تطوير التعليم الجامعي بجامعة قناة السويس.</w:t>
            </w:r>
          </w:p>
        </w:tc>
      </w:tr>
      <w:tr w:rsidR="00A03E87" w:rsidRPr="009F4BAD" w:rsidTr="00115A75">
        <w:tc>
          <w:tcPr>
            <w:tcW w:w="1267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</w:rPr>
            </w:pPr>
            <w:r w:rsidRPr="009F4BAD">
              <w:rPr>
                <w:b/>
                <w:bCs/>
                <w:sz w:val="32"/>
                <w:szCs w:val="32"/>
              </w:rPr>
              <w:t>QAAP</w:t>
            </w:r>
          </w:p>
        </w:tc>
        <w:tc>
          <w:tcPr>
            <w:tcW w:w="9639" w:type="dxa"/>
          </w:tcPr>
          <w:p w:rsidR="00A03E87" w:rsidRPr="00642EA5" w:rsidRDefault="00A03E87" w:rsidP="00A03E87">
            <w:pPr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642EA5"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كتابة تقارير المقررات الدراسية </w:t>
            </w:r>
            <w:r w:rsidRPr="00642EA5">
              <w:rPr>
                <w:b/>
                <w:bCs/>
                <w:sz w:val="28"/>
                <w:szCs w:val="28"/>
                <w:rtl/>
              </w:rPr>
              <w:t>–</w:t>
            </w:r>
            <w:r w:rsidRPr="00642EA5">
              <w:rPr>
                <w:rFonts w:hint="cs"/>
                <w:b/>
                <w:bCs/>
                <w:sz w:val="28"/>
                <w:szCs w:val="28"/>
                <w:rtl/>
              </w:rPr>
              <w:t xml:space="preserve"> كيفية كتابة توصيف المقررات الدراسية</w:t>
            </w:r>
          </w:p>
        </w:tc>
      </w:tr>
      <w:tr w:rsidR="00A03E87" w:rsidRPr="009F4BAD" w:rsidTr="00115A75">
        <w:tc>
          <w:tcPr>
            <w:tcW w:w="1267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</w:rPr>
            </w:pPr>
            <w:r w:rsidRPr="009F4BAD">
              <w:rPr>
                <w:b/>
                <w:bCs/>
                <w:sz w:val="32"/>
                <w:szCs w:val="32"/>
              </w:rPr>
              <w:t>CIQAP</w:t>
            </w:r>
          </w:p>
        </w:tc>
        <w:tc>
          <w:tcPr>
            <w:tcW w:w="9639" w:type="dxa"/>
          </w:tcPr>
          <w:p w:rsidR="00A03E87" w:rsidRDefault="00A03E87" w:rsidP="00A03E87">
            <w:pPr>
              <w:tabs>
                <w:tab w:val="right" w:pos="1280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 w:rsidRPr="00642EA5">
              <w:rPr>
                <w:rFonts w:cs="Simplified Arabic"/>
                <w:b/>
                <w:bCs/>
                <w:sz w:val="28"/>
                <w:szCs w:val="28"/>
              </w:rPr>
              <w:t>-</w:t>
            </w:r>
            <w:r w:rsidRPr="00642EA5">
              <w:rPr>
                <w:b/>
                <w:bCs/>
                <w:sz w:val="28"/>
                <w:szCs w:val="28"/>
                <w:rtl/>
              </w:rPr>
              <w:t xml:space="preserve"> متابع معيار التعليم و التعلم و التسهيلات المادية للتعلم من فبراير 201</w:t>
            </w:r>
            <w:r w:rsidRPr="00642EA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642EA5">
              <w:rPr>
                <w:b/>
                <w:bCs/>
                <w:sz w:val="28"/>
                <w:szCs w:val="28"/>
                <w:rtl/>
              </w:rPr>
              <w:t xml:space="preserve"> حتى </w:t>
            </w:r>
            <w:r w:rsidRPr="00642EA5">
              <w:rPr>
                <w:rFonts w:hint="cs"/>
                <w:b/>
                <w:bCs/>
                <w:sz w:val="28"/>
                <w:szCs w:val="28"/>
                <w:rtl/>
              </w:rPr>
              <w:t>الآن.</w:t>
            </w:r>
          </w:p>
          <w:p w:rsidR="00A03E87" w:rsidRPr="00642EA5" w:rsidRDefault="00A03E87" w:rsidP="00A03E87">
            <w:pPr>
              <w:tabs>
                <w:tab w:val="right" w:pos="1280"/>
              </w:tabs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منسق معيار البحث العلمي من أكتوبر 2014م وحتى تاريخه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9F4BAD" w:rsidRDefault="00A03E87" w:rsidP="008E7973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تحكيم الأبحاث</w:t>
            </w:r>
          </w:p>
        </w:tc>
      </w:tr>
      <w:tr w:rsidR="00A03E87" w:rsidRPr="009F4BAD" w:rsidTr="00115A75">
        <w:tc>
          <w:tcPr>
            <w:tcW w:w="1267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</w:rPr>
            </w:pPr>
            <w:r w:rsidRPr="000C5A7B">
              <w:rPr>
                <w:rFonts w:hint="cs"/>
                <w:b/>
                <w:bCs/>
                <w:rtl/>
              </w:rPr>
              <w:t>محكم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C5A7B">
              <w:rPr>
                <w:rFonts w:hint="cs"/>
                <w:b/>
                <w:bCs/>
                <w:rtl/>
              </w:rPr>
              <w:t>في المجلات العلمية المتخصصة</w:t>
            </w:r>
          </w:p>
        </w:tc>
        <w:tc>
          <w:tcPr>
            <w:tcW w:w="9639" w:type="dxa"/>
            <w:vAlign w:val="center"/>
          </w:tcPr>
          <w:p w:rsidR="00A03E87" w:rsidRPr="009F4BAD" w:rsidRDefault="00A03E87" w:rsidP="00A03E87">
            <w:pPr>
              <w:numPr>
                <w:ilvl w:val="0"/>
                <w:numId w:val="1"/>
              </w:numPr>
              <w:bidi w:val="0"/>
              <w:jc w:val="both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B0487D">
              <w:rPr>
                <w:rFonts w:ascii="Arial" w:hAnsi="Arial" w:cs="Arial"/>
                <w:b/>
                <w:bCs/>
                <w:sz w:val="28"/>
                <w:szCs w:val="28"/>
              </w:rPr>
              <w:t>Italian Journal of food science</w:t>
            </w:r>
          </w:p>
        </w:tc>
      </w:tr>
      <w:tr w:rsidR="00A03E87" w:rsidRPr="009F4BAD" w:rsidTr="00A03E87">
        <w:tc>
          <w:tcPr>
            <w:tcW w:w="10906" w:type="dxa"/>
            <w:gridSpan w:val="2"/>
          </w:tcPr>
          <w:p w:rsidR="00A03E87" w:rsidRPr="009F4BAD" w:rsidRDefault="00A03E87" w:rsidP="008E7973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>النشاط البيئي وخدمة المجتمع</w:t>
            </w:r>
          </w:p>
        </w:tc>
      </w:tr>
      <w:tr w:rsidR="00A03E87" w:rsidRPr="009F4BAD" w:rsidTr="00115A75">
        <w:tc>
          <w:tcPr>
            <w:tcW w:w="1267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639" w:type="dxa"/>
          </w:tcPr>
          <w:p w:rsidR="00A03E87" w:rsidRPr="000C5A7B" w:rsidRDefault="00A03E87" w:rsidP="00115A7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11" w:hanging="211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الاشتراك بإلقاء محاضرات بعنوان (</w:t>
            </w:r>
            <w:r w:rsidR="00FE5635">
              <w:rPr>
                <w:rFonts w:hint="cs"/>
                <w:b/>
                <w:bCs/>
                <w:sz w:val="24"/>
                <w:szCs w:val="24"/>
                <w:rtl/>
              </w:rPr>
              <w:t>قطف وتداول وتخزين ثمار الفاكهة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وأخرى عن تشقق القلف في المانجو خلال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الدورة التدريبية التي نظمتها وزارة الزراعة بمديرية الزراعة بالإسماعيلية في الفترة من 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28 /</w:t>
            </w:r>
            <w:r w:rsidR="00FE5635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/20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FE5635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A03E87" w:rsidRPr="00115A75" w:rsidRDefault="00FE5635" w:rsidP="00115A7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11" w:hanging="211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الاشتراك بإلقاء محاضرات بعنوان (الموالح)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خلال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الدورة التدريبية التي نظمتها وزارة الزراعة بمديرية الزراعة بالإسماعيلية في الفترة من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/20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A03E87" w:rsidRPr="000C5A7B" w:rsidRDefault="00A03E87" w:rsidP="00115A7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11" w:hanging="211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الاشتراك بإلقاء محاضرات بعنوان (معاملات ما بعد الحصاد التي تجرى على ثمار الموالح)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وأخرى عن تشقق القلف في المانجو خلال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الدورة التدريبية التي نظمتها وزارة الزراعة بمديرية الزراعة بالإسماعيلية في الفترة من 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28 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/20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  <w:p w:rsidR="00A03E87" w:rsidRDefault="00A03E87" w:rsidP="00115A75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211" w:hanging="211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الاشتراك بإلقاء محاضرات بعنوان (إنشاء بستان المانجو -حساسية المانجو لأضرار الصقيع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إدارة بستان المانجو) وذلك في الدورة التدريبية والتي نظمتها وزارة الزراعة بمديرية الزراعة بالإسماعيلية في الفترة من 19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23/6/2011م</w:t>
            </w:r>
          </w:p>
          <w:p w:rsidR="00A03E87" w:rsidRPr="00E300BF" w:rsidRDefault="00A03E87" w:rsidP="00A03E8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الاشتراك بإلقاء محاضرات بعنوان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إنشاء بساتين المانجو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الموالح -العنب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0C5A7B">
              <w:rPr>
                <w:b/>
                <w:bCs/>
                <w:sz w:val="24"/>
                <w:szCs w:val="24"/>
              </w:rPr>
              <w:t xml:space="preserve"> 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في الدورة التدريبية لزراعة وإنتاج الموالح والتي نظمتها وزارة الزراعة بمديرية الزراعة بالإسماعيلية في الفترة من 23 </w:t>
            </w:r>
            <w:r w:rsidRPr="000C5A7B">
              <w:rPr>
                <w:b/>
                <w:bCs/>
                <w:sz w:val="24"/>
                <w:szCs w:val="24"/>
                <w:rtl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28 /6/2008م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>عضو نقابة الزراعيين بالإسماعيلية.</w:t>
            </w:r>
          </w:p>
          <w:p w:rsidR="00A03E87" w:rsidRPr="000C5A7B" w:rsidRDefault="00A03E87" w:rsidP="00A03E8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24"/>
                <w:szCs w:val="24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عضو 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بجمعية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البساتين المصرية.</w:t>
            </w:r>
          </w:p>
          <w:p w:rsidR="00A03E87" w:rsidRPr="00E300BF" w:rsidRDefault="00A03E87" w:rsidP="00A03E8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28"/>
                <w:szCs w:val="28"/>
              </w:rPr>
            </w:pPr>
            <w:r w:rsidRPr="000C5A7B">
              <w:rPr>
                <w:rFonts w:hint="cs"/>
                <w:b/>
                <w:bCs/>
                <w:sz w:val="24"/>
                <w:szCs w:val="24"/>
                <w:rtl/>
              </w:rPr>
              <w:t xml:space="preserve">عضو بجمعية الكيمياء 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الزراعية وحماية البيئة </w:t>
            </w:r>
            <w:r w:rsidRPr="000C5A7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كلية الزراعة </w:t>
            </w:r>
            <w:r w:rsidRPr="000C5A7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0C5A7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جامعة عين شمس.</w:t>
            </w:r>
          </w:p>
          <w:p w:rsidR="00A03E87" w:rsidRPr="00B6689B" w:rsidRDefault="00A03E87" w:rsidP="00A03E87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ind w:left="714" w:hanging="357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عضو بجمعية البيئة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كلية العلوم </w:t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جامعة قناة السويس.</w:t>
            </w:r>
          </w:p>
        </w:tc>
      </w:tr>
      <w:tr w:rsidR="00A03E87" w:rsidRPr="009F4BAD" w:rsidTr="00A03E87">
        <w:tc>
          <w:tcPr>
            <w:tcW w:w="10906" w:type="dxa"/>
            <w:gridSpan w:val="2"/>
            <w:vAlign w:val="center"/>
          </w:tcPr>
          <w:p w:rsidR="00A03E87" w:rsidRPr="00B6689B" w:rsidRDefault="00A03E87" w:rsidP="008E7973">
            <w:pPr>
              <w:spacing w:before="100" w:beforeAutospacing="1" w:after="100" w:afterAutospacing="1"/>
              <w:jc w:val="center"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</w:rPr>
              <w:lastRenderedPageBreak/>
              <w:t>الإشراف</w:t>
            </w:r>
            <w:r w:rsidRPr="00B6689B">
              <w:rPr>
                <w:rFonts w:hint="cs"/>
                <w:b/>
                <w:bCs/>
                <w:sz w:val="40"/>
                <w:szCs w:val="40"/>
                <w:rtl/>
              </w:rPr>
              <w:t xml:space="preserve"> على الرسائل العلمية</w:t>
            </w:r>
          </w:p>
        </w:tc>
      </w:tr>
      <w:tr w:rsidR="00A03E87" w:rsidRPr="009F4BAD" w:rsidTr="00115A75">
        <w:tc>
          <w:tcPr>
            <w:tcW w:w="1267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32"/>
                <w:szCs w:val="32"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  <w:tc>
          <w:tcPr>
            <w:tcW w:w="9639" w:type="dxa"/>
          </w:tcPr>
          <w:p w:rsidR="00A03E87" w:rsidRPr="00C81D3C" w:rsidRDefault="00A03E87" w:rsidP="00A03E87">
            <w:pPr>
              <w:numPr>
                <w:ilvl w:val="0"/>
                <w:numId w:val="10"/>
              </w:numPr>
              <w:ind w:left="459" w:hanging="425"/>
              <w:jc w:val="both"/>
              <w:rPr>
                <w:b/>
                <w:bCs/>
              </w:rPr>
            </w:pPr>
            <w:r w:rsidRPr="00C81D3C">
              <w:rPr>
                <w:b/>
                <w:bCs/>
                <w:rtl/>
              </w:rPr>
              <w:t xml:space="preserve">تأثير التخزين المبرد على صفات الثمار </w:t>
            </w:r>
            <w:r w:rsidRPr="00C81D3C">
              <w:rPr>
                <w:rFonts w:hint="cs"/>
                <w:b/>
                <w:bCs/>
                <w:rtl/>
              </w:rPr>
              <w:t>والقدرة التسويقية</w:t>
            </w:r>
            <w:r w:rsidRPr="00C81D3C">
              <w:rPr>
                <w:b/>
                <w:bCs/>
                <w:rtl/>
              </w:rPr>
              <w:t xml:space="preserve"> لبعض أصناف الخوخ</w:t>
            </w:r>
          </w:p>
          <w:p w:rsidR="00A03E87" w:rsidRPr="00E54925" w:rsidRDefault="00A03E87" w:rsidP="00A03E87">
            <w:pPr>
              <w:ind w:left="34"/>
              <w:jc w:val="both"/>
              <w:rPr>
                <w:b/>
                <w:bCs/>
                <w:rtl/>
              </w:rPr>
            </w:pPr>
            <w:r w:rsidRPr="00C81D3C">
              <w:rPr>
                <w:b/>
                <w:bCs/>
                <w:rtl/>
              </w:rPr>
              <w:t>الطالبة/ نسرين أحمد عبد السلام (منحت)</w:t>
            </w:r>
          </w:p>
        </w:tc>
      </w:tr>
      <w:tr w:rsidR="007B163D" w:rsidRPr="009F4BAD" w:rsidTr="00115A75">
        <w:tc>
          <w:tcPr>
            <w:tcW w:w="1267" w:type="dxa"/>
            <w:vAlign w:val="center"/>
          </w:tcPr>
          <w:p w:rsidR="007B163D" w:rsidRPr="009F4BAD" w:rsidRDefault="007B163D" w:rsidP="00A03E87">
            <w:pPr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دكتوراه</w:t>
            </w:r>
          </w:p>
        </w:tc>
        <w:tc>
          <w:tcPr>
            <w:tcW w:w="9639" w:type="dxa"/>
          </w:tcPr>
          <w:p w:rsidR="007B163D" w:rsidRPr="00C81D3C" w:rsidRDefault="007B163D" w:rsidP="00A03E87">
            <w:pPr>
              <w:numPr>
                <w:ilvl w:val="0"/>
                <w:numId w:val="10"/>
              </w:numPr>
              <w:ind w:left="459" w:hanging="425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الطالبة / ندا عماد الدين إبراهيم </w:t>
            </w:r>
          </w:p>
        </w:tc>
      </w:tr>
    </w:tbl>
    <w:p w:rsidR="00A03E87" w:rsidRDefault="00A03E87" w:rsidP="00A03E87">
      <w:pPr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قائمة بالأبحاث</w:t>
      </w:r>
    </w:p>
    <w:p w:rsidR="00A03E87" w:rsidRDefault="00A03E87" w:rsidP="00A03E8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List of Publications</w:t>
      </w:r>
    </w:p>
    <w:tbl>
      <w:tblPr>
        <w:bidiVisual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6890"/>
        <w:gridCol w:w="1276"/>
      </w:tblGrid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ind w:right="207"/>
              <w:jc w:val="both"/>
              <w:rPr>
                <w:b/>
                <w:bCs/>
                <w:sz w:val="28"/>
                <w:szCs w:val="28"/>
                <w:rtl/>
              </w:rPr>
            </w:pPr>
            <w:r w:rsidRPr="009F4BAD">
              <w:rPr>
                <w:rFonts w:hint="cs"/>
                <w:b/>
                <w:bCs/>
                <w:sz w:val="28"/>
                <w:szCs w:val="28"/>
                <w:rtl/>
              </w:rPr>
              <w:t>بلد النشر</w:t>
            </w:r>
          </w:p>
        </w:tc>
        <w:tc>
          <w:tcPr>
            <w:tcW w:w="6890" w:type="dxa"/>
            <w:vAlign w:val="center"/>
          </w:tcPr>
          <w:p w:rsidR="00A03E87" w:rsidRPr="009F4BAD" w:rsidRDefault="00A03E87" w:rsidP="007B163D">
            <w:pPr>
              <w:bidi w:val="0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1276" w:type="dxa"/>
          </w:tcPr>
          <w:p w:rsidR="00A03E87" w:rsidRPr="009F4BAD" w:rsidRDefault="00A03E87" w:rsidP="00A03E87">
            <w:pPr>
              <w:jc w:val="both"/>
              <w:rPr>
                <w:b/>
                <w:bCs/>
                <w:rtl/>
              </w:rPr>
            </w:pPr>
            <w:r w:rsidRPr="009F4BAD">
              <w:rPr>
                <w:rFonts w:hint="cs"/>
                <w:b/>
                <w:bCs/>
                <w:rtl/>
              </w:rPr>
              <w:t>م</w:t>
            </w:r>
          </w:p>
        </w:tc>
      </w:tr>
      <w:tr w:rsidR="00A03E87" w:rsidRPr="009F4BAD" w:rsidTr="001B6D09">
        <w:tc>
          <w:tcPr>
            <w:tcW w:w="9845" w:type="dxa"/>
            <w:gridSpan w:val="3"/>
          </w:tcPr>
          <w:p w:rsidR="00A03E87" w:rsidRPr="009F4BAD" w:rsidRDefault="00A03E87" w:rsidP="007B163D">
            <w:pPr>
              <w:jc w:val="center"/>
              <w:rPr>
                <w:b/>
                <w:bCs/>
                <w:rtl/>
              </w:rPr>
            </w:pPr>
            <w:r w:rsidRPr="009F4BAD">
              <w:rPr>
                <w:b/>
                <w:bCs/>
                <w:sz w:val="32"/>
                <w:szCs w:val="32"/>
              </w:rPr>
              <w:t>International publications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  <w:rtl/>
              </w:rPr>
            </w:pPr>
            <w:r w:rsidRPr="000B6433">
              <w:rPr>
                <w:b/>
                <w:bCs/>
              </w:rPr>
              <w:t>Serry, N. K. H. (2008) Postharvest Ca and cold storage treatments in relation to storability, marketability and consumer acceptance of seedless guava fruits. Ismailia, J. Agric. Res., 8, No (2): 99-106. (Egypt)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1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25"/>
              <w:jc w:val="both"/>
              <w:rPr>
                <w:b/>
                <w:bCs/>
                <w:rtl/>
              </w:rPr>
            </w:pPr>
            <w:r w:rsidRPr="000B6433">
              <w:rPr>
                <w:b/>
                <w:bCs/>
              </w:rPr>
              <w:t>Serry, N. K. H. (2010)</w:t>
            </w:r>
            <w:r w:rsidRPr="000B6433">
              <w:rPr>
                <w:b/>
                <w:bCs/>
                <w:rtl/>
              </w:rPr>
              <w:t xml:space="preserve"> </w:t>
            </w:r>
            <w:r w:rsidRPr="000B6433">
              <w:rPr>
                <w:b/>
                <w:bCs/>
                <w:color w:val="231F20"/>
              </w:rPr>
              <w:t>Some Modified Atmosphere Packaging Treatments Reduce Chilling Injury and Maintain Postharvest Quality of Washington Navel Orange. J. of Hort. Sci. &amp; ornamental plants 2 (3) : 108 – 113, ISSN 2079 – 2158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2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32" w:firstLine="27"/>
              <w:jc w:val="both"/>
              <w:rPr>
                <w:b/>
                <w:bCs/>
                <w:color w:val="0000FF"/>
                <w:lang w:val="en-GB"/>
              </w:rPr>
            </w:pPr>
            <w:r w:rsidRPr="000B6433">
              <w:rPr>
                <w:b/>
                <w:bCs/>
              </w:rPr>
              <w:t xml:space="preserve">Serry, N. K. H. (2010) </w:t>
            </w:r>
            <w:r w:rsidRPr="000B6433">
              <w:rPr>
                <w:b/>
                <w:bCs/>
                <w:color w:val="010202"/>
              </w:rPr>
              <w:t xml:space="preserve">Evaluation of some mango strains growing under Ismailia conditions. </w:t>
            </w:r>
            <w:r w:rsidRPr="000B6433">
              <w:rPr>
                <w:b/>
                <w:bCs/>
              </w:rPr>
              <w:t>Res. J. Agric. &amp; Biol. Sci., 6(6): 840-845.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25"/>
              <w:jc w:val="both"/>
              <w:rPr>
                <w:b/>
                <w:bCs/>
              </w:rPr>
            </w:pPr>
            <w:r w:rsidRPr="000B6433">
              <w:rPr>
                <w:b/>
                <w:bCs/>
              </w:rPr>
              <w:t>Serry, N. K. H. (2011) Postharvest responses of Tropic Snow peach fruits to preharvest field Heat Removal.</w:t>
            </w:r>
            <w:r w:rsidRPr="000B6433">
              <w:t xml:space="preserve"> </w:t>
            </w:r>
            <w:r w:rsidRPr="000B6433">
              <w:rPr>
                <w:b/>
                <w:bCs/>
              </w:rPr>
              <w:t>American- Eurasian J. Agric. &amp; Environ. Sci., 10(6): 1032 – 1039, ISSN 1818- 6769.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Pakistan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25"/>
              <w:jc w:val="both"/>
              <w:rPr>
                <w:b/>
                <w:bCs/>
              </w:rPr>
            </w:pPr>
            <w:r w:rsidRPr="000B6433">
              <w:rPr>
                <w:b/>
                <w:bCs/>
              </w:rPr>
              <w:t xml:space="preserve">Serry, N. K. H. (2011) Postharvest handling of Solo papaya fruits harvested at different maturity stages American- Eurasian J. Agric. &amp; Environ. Sci., </w:t>
            </w:r>
            <w:r>
              <w:rPr>
                <w:b/>
                <w:bCs/>
              </w:rPr>
              <w:t>(under publishing)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</w:tr>
      <w:tr w:rsidR="00A03E87" w:rsidRPr="009F4BAD" w:rsidTr="001B6D09">
        <w:tc>
          <w:tcPr>
            <w:tcW w:w="9845" w:type="dxa"/>
            <w:gridSpan w:val="3"/>
          </w:tcPr>
          <w:p w:rsidR="00A03E87" w:rsidRPr="009F4BAD" w:rsidRDefault="00A03E87" w:rsidP="009D573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F4BAD">
              <w:rPr>
                <w:b/>
                <w:bCs/>
                <w:sz w:val="32"/>
                <w:szCs w:val="32"/>
              </w:rPr>
              <w:t>National publications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 w:rsidRPr="009F4BAD"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El-Sayed, M. H. </w:t>
            </w:r>
            <w:proofErr w:type="spellStart"/>
            <w:r>
              <w:rPr>
                <w:b/>
                <w:bCs/>
              </w:rPr>
              <w:t>Qaoud</w:t>
            </w:r>
            <w:proofErr w:type="spellEnd"/>
            <w:r>
              <w:rPr>
                <w:b/>
                <w:bCs/>
              </w:rPr>
              <w:t xml:space="preserve">; Naglaa, K. Hafez and O. A. I. Zagzog. 2014 Improving fruit quality of some peach and nectarine cultivars by bio-stimulator growth agent. Annals of Agriculture science, </w:t>
            </w:r>
            <w:proofErr w:type="spellStart"/>
            <w:r>
              <w:rPr>
                <w:b/>
                <w:bCs/>
              </w:rPr>
              <w:t>Moshtohor</w:t>
            </w:r>
            <w:proofErr w:type="spellEnd"/>
            <w:r>
              <w:rPr>
                <w:b/>
                <w:bCs/>
              </w:rPr>
              <w:t>, Especial Issue, Vol. (1): 33-42 (Bio-fertilizer techniques)</w:t>
            </w:r>
          </w:p>
        </w:tc>
        <w:tc>
          <w:tcPr>
            <w:tcW w:w="1276" w:type="dxa"/>
            <w:vAlign w:val="center"/>
          </w:tcPr>
          <w:p w:rsidR="00A03E87" w:rsidRDefault="00A03E87" w:rsidP="00A03E87">
            <w:pPr>
              <w:bidi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1-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 w:rsidRPr="009F4BAD"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Zagzog, O. A. I</w:t>
            </w:r>
            <w:proofErr w:type="gramStart"/>
            <w:r>
              <w:rPr>
                <w:b/>
                <w:bCs/>
              </w:rPr>
              <w:t>. ;</w:t>
            </w:r>
            <w:proofErr w:type="gramEnd"/>
            <w:r>
              <w:rPr>
                <w:b/>
                <w:bCs/>
              </w:rPr>
              <w:t xml:space="preserve"> Naglaa, K. Hafez and M. H. </w:t>
            </w:r>
            <w:proofErr w:type="spellStart"/>
            <w:r>
              <w:rPr>
                <w:b/>
                <w:bCs/>
              </w:rPr>
              <w:t>Qaoud</w:t>
            </w:r>
            <w:proofErr w:type="spellEnd"/>
            <w:r>
              <w:rPr>
                <w:b/>
                <w:bCs/>
              </w:rPr>
              <w:t xml:space="preserve"> 2014. Effect of peach cultivars and some preharvest treatments on harvest and postharvest fruit quality. Annals of Agriculture science, </w:t>
            </w:r>
            <w:proofErr w:type="spellStart"/>
            <w:r>
              <w:rPr>
                <w:b/>
                <w:bCs/>
              </w:rPr>
              <w:t>Moshtohor</w:t>
            </w:r>
            <w:proofErr w:type="spellEnd"/>
            <w:r>
              <w:rPr>
                <w:b/>
                <w:bCs/>
              </w:rPr>
              <w:t>, Especial Issue, Vol. (2): 25-34 (Plant Pathology Bio- techniques)</w:t>
            </w:r>
          </w:p>
        </w:tc>
        <w:tc>
          <w:tcPr>
            <w:tcW w:w="1276" w:type="dxa"/>
            <w:vAlign w:val="center"/>
          </w:tcPr>
          <w:p w:rsidR="00A03E87" w:rsidRDefault="00A03E87" w:rsidP="00A03E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2-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r w:rsidRPr="009F4BAD"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Wahdan</w:t>
            </w:r>
            <w:proofErr w:type="spellEnd"/>
            <w:r>
              <w:rPr>
                <w:b/>
                <w:bCs/>
              </w:rPr>
              <w:t>, M. T.</w:t>
            </w:r>
            <w:proofErr w:type="gramStart"/>
            <w:r>
              <w:rPr>
                <w:b/>
                <w:bCs/>
              </w:rPr>
              <w:t>;  Naglaa</w:t>
            </w:r>
            <w:proofErr w:type="gramEnd"/>
            <w:r>
              <w:rPr>
                <w:b/>
                <w:bCs/>
              </w:rPr>
              <w:t xml:space="preserve">, K. Hafez; O. A. I. Zagzog and El-Sayed, M. H. </w:t>
            </w:r>
            <w:proofErr w:type="spellStart"/>
            <w:r>
              <w:rPr>
                <w:b/>
                <w:bCs/>
              </w:rPr>
              <w:t>Qaoud</w:t>
            </w:r>
            <w:proofErr w:type="spellEnd"/>
            <w:r>
              <w:rPr>
                <w:b/>
                <w:bCs/>
              </w:rPr>
              <w:t xml:space="preserve">. 2013 Effect of growth </w:t>
            </w:r>
            <w:proofErr w:type="spellStart"/>
            <w:r>
              <w:rPr>
                <w:b/>
                <w:bCs/>
              </w:rPr>
              <w:t>biostimulator</w:t>
            </w:r>
            <w:proofErr w:type="spellEnd"/>
            <w:r>
              <w:rPr>
                <w:b/>
                <w:bCs/>
              </w:rPr>
              <w:t xml:space="preserve"> on vegetative </w:t>
            </w:r>
            <w:proofErr w:type="gramStart"/>
            <w:r>
              <w:rPr>
                <w:b/>
                <w:bCs/>
              </w:rPr>
              <w:t>growth ,</w:t>
            </w:r>
            <w:proofErr w:type="gramEnd"/>
            <w:r>
              <w:rPr>
                <w:b/>
                <w:bCs/>
              </w:rPr>
              <w:t xml:space="preserve"> fruiting, yield and fruit quality of succary </w:t>
            </w:r>
            <w:proofErr w:type="spellStart"/>
            <w:r>
              <w:rPr>
                <w:b/>
                <w:bCs/>
              </w:rPr>
              <w:t>Abiad</w:t>
            </w:r>
            <w:proofErr w:type="spellEnd"/>
            <w:r>
              <w:rPr>
                <w:b/>
                <w:bCs/>
              </w:rPr>
              <w:t xml:space="preserve"> mango trees. J. Agric. Sci. Suez Canal University.</w:t>
            </w:r>
          </w:p>
        </w:tc>
        <w:tc>
          <w:tcPr>
            <w:tcW w:w="1276" w:type="dxa"/>
            <w:vAlign w:val="center"/>
          </w:tcPr>
          <w:p w:rsidR="00A03E87" w:rsidRDefault="00A03E87" w:rsidP="00A03E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3-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4BAD">
                  <w:rPr>
                    <w:b/>
                    <w:bCs/>
                    <w:sz w:val="28"/>
                    <w:szCs w:val="28"/>
                  </w:rPr>
                  <w:lastRenderedPageBreak/>
                  <w:t>Egypt</w:t>
                </w:r>
              </w:smartTag>
            </w:smartTag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  <w:rtl/>
              </w:rPr>
            </w:pPr>
            <w:r w:rsidRPr="000B6433">
              <w:rPr>
                <w:b/>
                <w:bCs/>
              </w:rPr>
              <w:t>El-</w:t>
            </w:r>
            <w:proofErr w:type="spellStart"/>
            <w:r w:rsidRPr="000B6433">
              <w:rPr>
                <w:b/>
                <w:bCs/>
              </w:rPr>
              <w:t>Khoreiby</w:t>
            </w:r>
            <w:proofErr w:type="spellEnd"/>
            <w:r w:rsidRPr="000B6433">
              <w:rPr>
                <w:b/>
                <w:bCs/>
              </w:rPr>
              <w:t xml:space="preserve">, A. M. K.; </w:t>
            </w:r>
            <w:proofErr w:type="spellStart"/>
            <w:r w:rsidRPr="000B6433">
              <w:rPr>
                <w:b/>
                <w:bCs/>
              </w:rPr>
              <w:t>Melouk</w:t>
            </w:r>
            <w:proofErr w:type="spellEnd"/>
            <w:r w:rsidRPr="000B6433">
              <w:rPr>
                <w:b/>
                <w:bCs/>
              </w:rPr>
              <w:t xml:space="preserve">, A. M.; Serry, N. K. H. and </w:t>
            </w:r>
            <w:proofErr w:type="spellStart"/>
            <w:r w:rsidRPr="000B6433">
              <w:rPr>
                <w:b/>
                <w:bCs/>
              </w:rPr>
              <w:t>Abd</w:t>
            </w:r>
            <w:proofErr w:type="spellEnd"/>
            <w:r w:rsidRPr="000B6433">
              <w:rPr>
                <w:b/>
                <w:bCs/>
              </w:rPr>
              <w:t xml:space="preserve"> El-Salam, N. A. (2011) Determination of maturity stage for some peach cultivars under Ismailia conditions J. Plant Production, Mansoura Univ., Vol. 2(1): 139-150.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</w:tr>
      <w:tr w:rsidR="00A03E87" w:rsidRPr="009F4BAD" w:rsidTr="001B6D09">
        <w:tc>
          <w:tcPr>
            <w:tcW w:w="1679" w:type="dxa"/>
            <w:vAlign w:val="center"/>
          </w:tcPr>
          <w:p w:rsidR="00A03E87" w:rsidRPr="000B6433" w:rsidRDefault="00A03E87" w:rsidP="00A03E87">
            <w:pPr>
              <w:jc w:val="both"/>
              <w:rPr>
                <w:b/>
                <w:bCs/>
                <w:rtl/>
              </w:rPr>
            </w:pPr>
            <w:r w:rsidRPr="008F325C">
              <w:rPr>
                <w:b/>
                <w:bCs/>
                <w:sz w:val="28"/>
                <w:szCs w:val="28"/>
              </w:rPr>
              <w:t>Egypt</w:t>
            </w:r>
          </w:p>
        </w:tc>
        <w:tc>
          <w:tcPr>
            <w:tcW w:w="6890" w:type="dxa"/>
          </w:tcPr>
          <w:p w:rsidR="00A03E87" w:rsidRPr="000B6433" w:rsidRDefault="00A03E87" w:rsidP="00A03E87">
            <w:pPr>
              <w:bidi w:val="0"/>
              <w:ind w:left="411"/>
              <w:jc w:val="both"/>
              <w:rPr>
                <w:b/>
                <w:bCs/>
                <w:rtl/>
              </w:rPr>
            </w:pPr>
            <w:r w:rsidRPr="000B6433">
              <w:rPr>
                <w:b/>
                <w:bCs/>
              </w:rPr>
              <w:t>El-</w:t>
            </w:r>
            <w:proofErr w:type="spellStart"/>
            <w:r w:rsidRPr="000B6433">
              <w:rPr>
                <w:b/>
                <w:bCs/>
              </w:rPr>
              <w:t>Khoreiby</w:t>
            </w:r>
            <w:proofErr w:type="spellEnd"/>
            <w:r w:rsidRPr="000B6433">
              <w:rPr>
                <w:b/>
                <w:bCs/>
              </w:rPr>
              <w:t xml:space="preserve">, A. M. K.; </w:t>
            </w:r>
            <w:proofErr w:type="spellStart"/>
            <w:r w:rsidRPr="000B6433">
              <w:rPr>
                <w:b/>
                <w:bCs/>
              </w:rPr>
              <w:t>Melouk</w:t>
            </w:r>
            <w:proofErr w:type="spellEnd"/>
            <w:r w:rsidRPr="000B6433">
              <w:rPr>
                <w:b/>
                <w:bCs/>
              </w:rPr>
              <w:t xml:space="preserve">, A. M.; Serry, N. K. H. and </w:t>
            </w:r>
            <w:proofErr w:type="spellStart"/>
            <w:r w:rsidRPr="000B6433">
              <w:rPr>
                <w:b/>
                <w:bCs/>
              </w:rPr>
              <w:t>Abd</w:t>
            </w:r>
            <w:proofErr w:type="spellEnd"/>
            <w:r w:rsidRPr="000B6433">
              <w:rPr>
                <w:b/>
                <w:bCs/>
              </w:rPr>
              <w:t xml:space="preserve"> El-Salam, N. A. (2011) Influence of cold storage on fruit quality and marketability of some peach cultivars. J. Plant Production, Mansoura Univ., Vol. 2(1): 127 – 137.</w:t>
            </w:r>
          </w:p>
        </w:tc>
        <w:tc>
          <w:tcPr>
            <w:tcW w:w="1276" w:type="dxa"/>
            <w:vAlign w:val="center"/>
          </w:tcPr>
          <w:p w:rsidR="00A03E87" w:rsidRPr="009F4BAD" w:rsidRDefault="00A03E87" w:rsidP="00A03E87">
            <w:pPr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03E87" w:rsidRDefault="00A03E87" w:rsidP="00A03E87">
      <w:pPr>
        <w:spacing w:line="360" w:lineRule="auto"/>
        <w:jc w:val="both"/>
        <w:rPr>
          <w:b/>
          <w:bCs/>
          <w:sz w:val="30"/>
          <w:szCs w:val="30"/>
          <w:rtl/>
        </w:rPr>
      </w:pPr>
    </w:p>
    <w:p w:rsidR="008412C8" w:rsidRDefault="008412C8" w:rsidP="00A03E87">
      <w:pPr>
        <w:jc w:val="both"/>
      </w:pPr>
    </w:p>
    <w:sectPr w:rsidR="008412C8" w:rsidSect="00A03E87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485"/>
    <w:multiLevelType w:val="hybridMultilevel"/>
    <w:tmpl w:val="5BE60B9A"/>
    <w:lvl w:ilvl="0" w:tplc="97449D0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D11944"/>
    <w:multiLevelType w:val="hybridMultilevel"/>
    <w:tmpl w:val="692A001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0BD7ED4"/>
    <w:multiLevelType w:val="hybridMultilevel"/>
    <w:tmpl w:val="A34C3AAC"/>
    <w:lvl w:ilvl="0" w:tplc="3EEEC49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6C11"/>
    <w:multiLevelType w:val="hybridMultilevel"/>
    <w:tmpl w:val="23AE0C5E"/>
    <w:lvl w:ilvl="0" w:tplc="C9E2857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6D058D4"/>
    <w:multiLevelType w:val="hybridMultilevel"/>
    <w:tmpl w:val="00D08F54"/>
    <w:lvl w:ilvl="0" w:tplc="E8EADF5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07DBD"/>
    <w:multiLevelType w:val="hybridMultilevel"/>
    <w:tmpl w:val="398E811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E16C2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S Mincho" w:hAnsi="Times New Roman" w:cs="Simplified Arabic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36F9C"/>
    <w:multiLevelType w:val="hybridMultilevel"/>
    <w:tmpl w:val="1700B2B6"/>
    <w:lvl w:ilvl="0" w:tplc="5774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F4E2A"/>
    <w:multiLevelType w:val="hybridMultilevel"/>
    <w:tmpl w:val="AEF449C0"/>
    <w:lvl w:ilvl="0" w:tplc="0A0E089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638C2E37"/>
    <w:multiLevelType w:val="hybridMultilevel"/>
    <w:tmpl w:val="E6108C8E"/>
    <w:lvl w:ilvl="0" w:tplc="57745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549CB"/>
    <w:multiLevelType w:val="hybridMultilevel"/>
    <w:tmpl w:val="FE106DD8"/>
    <w:lvl w:ilvl="0" w:tplc="751C1F1A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b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7"/>
    <w:rsid w:val="00115A75"/>
    <w:rsid w:val="00176B17"/>
    <w:rsid w:val="003D6D8B"/>
    <w:rsid w:val="007B163D"/>
    <w:rsid w:val="008412C8"/>
    <w:rsid w:val="008E7973"/>
    <w:rsid w:val="00926A53"/>
    <w:rsid w:val="009A5CD1"/>
    <w:rsid w:val="009D5732"/>
    <w:rsid w:val="00A03E87"/>
    <w:rsid w:val="00E30755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3667D8-4738-4E1D-BE4E-CE39A85B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87"/>
    <w:pPr>
      <w:bidi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E8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Dr-Naglaa</dc:creator>
  <cp:keywords/>
  <dc:description/>
  <cp:lastModifiedBy>Dr-Naglaa</cp:lastModifiedBy>
  <cp:revision>9</cp:revision>
  <dcterms:created xsi:type="dcterms:W3CDTF">2017-08-06T15:04:00Z</dcterms:created>
  <dcterms:modified xsi:type="dcterms:W3CDTF">2017-09-25T00:05:00Z</dcterms:modified>
</cp:coreProperties>
</file>