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71" w:rsidRDefault="0006159F" w:rsidP="00151871">
      <w:pPr>
        <w:bidi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484493" cy="496570"/>
            <wp:effectExtent l="0" t="0" r="0" b="0"/>
            <wp:wrapNone/>
            <wp:docPr id="3" name="Picture 3" descr="شعار_جامعة_قناة_السوي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_جامعة_قناة_السوي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3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A1" w:rsidRPr="0006159F" w:rsidRDefault="00AB3834" w:rsidP="00151871">
      <w:pPr>
        <w:bidi/>
        <w:jc w:val="center"/>
        <w:rPr>
          <w:b/>
          <w:bCs/>
          <w:rtl/>
        </w:rPr>
      </w:pPr>
      <w:r w:rsidRPr="0006159F">
        <w:rPr>
          <w:rFonts w:hint="cs"/>
          <w:b/>
          <w:bCs/>
          <w:rtl/>
        </w:rPr>
        <w:t>السيرة الذاتية المختصرة</w:t>
      </w:r>
    </w:p>
    <w:p w:rsidR="00AB3834" w:rsidRPr="0006159F" w:rsidRDefault="00AB3834" w:rsidP="00AB3834">
      <w:pPr>
        <w:jc w:val="center"/>
        <w:rPr>
          <w:b/>
          <w:bCs/>
        </w:rPr>
      </w:pPr>
      <w:r w:rsidRPr="0006159F">
        <w:rPr>
          <w:b/>
          <w:bCs/>
        </w:rPr>
        <w:t>Short CV</w:t>
      </w:r>
    </w:p>
    <w:tbl>
      <w:tblPr>
        <w:tblStyle w:val="TableGrid"/>
        <w:tblW w:w="11128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180"/>
        <w:gridCol w:w="810"/>
        <w:gridCol w:w="666"/>
        <w:gridCol w:w="1134"/>
        <w:gridCol w:w="810"/>
        <w:gridCol w:w="1783"/>
        <w:gridCol w:w="1700"/>
      </w:tblGrid>
      <w:tr w:rsidR="004A6859" w:rsidRPr="005B0CCB" w:rsidTr="003112F8">
        <w:trPr>
          <w:trHeight w:val="383"/>
          <w:jc w:val="center"/>
        </w:trPr>
        <w:tc>
          <w:tcPr>
            <w:tcW w:w="2065" w:type="dxa"/>
            <w:shd w:val="clear" w:color="auto" w:fill="D9D9D9" w:themeFill="background1" w:themeFillShade="D9"/>
          </w:tcPr>
          <w:p w:rsidR="004A6859" w:rsidRPr="005B0CCB" w:rsidRDefault="004A6859" w:rsidP="003112F8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ind w:left="157" w:right="-25" w:hanging="15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Basic information:</w:t>
            </w:r>
          </w:p>
        </w:tc>
        <w:tc>
          <w:tcPr>
            <w:tcW w:w="7363" w:type="dxa"/>
            <w:gridSpan w:val="7"/>
            <w:shd w:val="clear" w:color="auto" w:fill="D9D9D9" w:themeFill="background1" w:themeFillShade="D9"/>
          </w:tcPr>
          <w:p w:rsidR="004A6859" w:rsidRPr="005B0CCB" w:rsidRDefault="004A6859" w:rsidP="00245AA2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4A6859" w:rsidRPr="005B0CCB" w:rsidRDefault="004A6859" w:rsidP="00ED0112">
            <w:pPr>
              <w:bidi/>
              <w:ind w:right="-101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1ـ البيانات الاساسية:</w:t>
            </w:r>
          </w:p>
        </w:tc>
      </w:tr>
      <w:tr w:rsidR="005B0CCB" w:rsidRPr="005B0CCB" w:rsidTr="003112F8">
        <w:trPr>
          <w:trHeight w:val="385"/>
          <w:jc w:val="center"/>
        </w:trPr>
        <w:tc>
          <w:tcPr>
            <w:tcW w:w="2065" w:type="dxa"/>
            <w:vMerge w:val="restart"/>
          </w:tcPr>
          <w:p w:rsidR="00F051F6" w:rsidRDefault="00F051F6" w:rsidP="00245AA2">
            <w:pPr>
              <w:contextualSpacing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  <w:p w:rsidR="005B0CCB" w:rsidRPr="005B0CCB" w:rsidRDefault="00F051F6" w:rsidP="00245AA2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051F6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>
                  <wp:extent cx="1209579" cy="1257300"/>
                  <wp:effectExtent l="0" t="0" r="0" b="0"/>
                  <wp:docPr id="1" name="Picture 1" descr="C:\Users\Nasef\Documents\IMG-2020050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ef\Documents\IMG-20200503-WA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8" t="5380" r="1914" b="38128"/>
                          <a:stretch/>
                        </pic:blipFill>
                        <pic:spPr bwMode="auto">
                          <a:xfrm flipH="1">
                            <a:off x="0" y="0"/>
                            <a:ext cx="1265704" cy="131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5"/>
          </w:tcPr>
          <w:p w:rsidR="005B0CCB" w:rsidRPr="005B0CCB" w:rsidRDefault="005B0CCB" w:rsidP="005B0CCB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Full Name in English: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D63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Samir </w:t>
            </w:r>
            <w:proofErr w:type="spellStart"/>
            <w:r w:rsidR="00FD63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Kamel</w:t>
            </w:r>
            <w:proofErr w:type="spellEnd"/>
            <w:r w:rsidR="00FD63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63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</w:t>
            </w:r>
            <w:r w:rsidR="008A1D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</w:t>
            </w:r>
            <w:r w:rsidR="003457B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proofErr w:type="spellEnd"/>
            <w:r w:rsidR="00CC14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El-</w:t>
            </w:r>
            <w:proofErr w:type="spellStart"/>
            <w:r w:rsidR="00CC14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</w:t>
            </w:r>
            <w:r w:rsidR="00FB66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="00CC14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4293" w:type="dxa"/>
            <w:gridSpan w:val="3"/>
          </w:tcPr>
          <w:p w:rsidR="005B0CCB" w:rsidRPr="005B0CCB" w:rsidRDefault="005B0CCB" w:rsidP="005B0CCB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باللغة ال</w:t>
            </w:r>
            <w:r w:rsidR="00CC142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عربية: </w:t>
            </w:r>
            <w:r w:rsidR="006968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سمير كامل الطيب</w:t>
            </w:r>
            <w:r w:rsidR="00CC14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الصيفي</w:t>
            </w:r>
          </w:p>
          <w:p w:rsidR="005B0CCB" w:rsidRPr="00CC1428" w:rsidRDefault="005B0CCB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13B3" w:rsidRPr="005B0CCB" w:rsidTr="003112F8">
        <w:trPr>
          <w:trHeight w:val="385"/>
          <w:jc w:val="center"/>
        </w:trPr>
        <w:tc>
          <w:tcPr>
            <w:tcW w:w="2065" w:type="dxa"/>
            <w:vMerge/>
          </w:tcPr>
          <w:p w:rsidR="003B13B3" w:rsidRPr="005B0CCB" w:rsidRDefault="003B13B3" w:rsidP="00245AA2">
            <w:pPr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13B3" w:rsidRPr="005B0CCB" w:rsidRDefault="003B13B3" w:rsidP="00245AA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Scientific qualifications:</w:t>
            </w:r>
          </w:p>
        </w:tc>
        <w:tc>
          <w:tcPr>
            <w:tcW w:w="2790" w:type="dxa"/>
            <w:gridSpan w:val="4"/>
          </w:tcPr>
          <w:p w:rsidR="003B13B3" w:rsidRPr="005B0CCB" w:rsidRDefault="003B13B3" w:rsidP="00956CC9">
            <w:pPr>
              <w:pStyle w:val="ListParagraph"/>
              <w:numPr>
                <w:ilvl w:val="0"/>
                <w:numId w:val="6"/>
              </w:numPr>
              <w:ind w:left="72" w:hanging="9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B.Sc. of Agricultural Science – Horticulture, June </w:t>
            </w:r>
            <w:r w:rsidR="00956CC9">
              <w:rPr>
                <w:rFonts w:asciiTheme="majorBidi" w:hAnsiTheme="majorBidi" w:cstheme="majorBidi" w:hint="cs"/>
                <w:sz w:val="20"/>
                <w:szCs w:val="20"/>
                <w:rtl/>
              </w:rPr>
              <w:t>1968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>, with a Genera</w:t>
            </w:r>
            <w:r w:rsidR="00956CC9">
              <w:rPr>
                <w:rFonts w:asciiTheme="majorBidi" w:hAnsiTheme="majorBidi" w:cstheme="majorBidi"/>
                <w:sz w:val="20"/>
                <w:szCs w:val="20"/>
              </w:rPr>
              <w:t xml:space="preserve">l Grade of very good, </w:t>
            </w:r>
            <w:proofErr w:type="spellStart"/>
            <w:r w:rsidR="00956CC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0211D2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956CC9">
              <w:rPr>
                <w:rFonts w:asciiTheme="majorBidi" w:hAnsiTheme="majorBidi" w:cstheme="majorBidi"/>
                <w:sz w:val="20"/>
                <w:szCs w:val="20"/>
              </w:rPr>
              <w:t>si</w:t>
            </w:r>
            <w:r w:rsidR="00FD63C4">
              <w:rPr>
                <w:rFonts w:asciiTheme="majorBidi" w:hAnsiTheme="majorBidi" w:cstheme="majorBidi"/>
                <w:sz w:val="20"/>
                <w:szCs w:val="20"/>
              </w:rPr>
              <w:t>ut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University, Egypt.</w:t>
            </w:r>
          </w:p>
          <w:p w:rsidR="009B5DD9" w:rsidRDefault="003B13B3" w:rsidP="009B5DD9">
            <w:pPr>
              <w:pStyle w:val="ListParagraph"/>
              <w:numPr>
                <w:ilvl w:val="0"/>
                <w:numId w:val="6"/>
              </w:numPr>
              <w:ind w:left="72" w:hanging="9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>M.Sc. of Veget</w:t>
            </w:r>
            <w:bookmarkStart w:id="0" w:name="_GoBack"/>
            <w:bookmarkEnd w:id="0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ables, </w:t>
            </w:r>
            <w:r w:rsidR="00956CC9">
              <w:rPr>
                <w:rFonts w:asciiTheme="majorBidi" w:hAnsiTheme="majorBidi" w:cstheme="majorBidi"/>
                <w:sz w:val="20"/>
                <w:szCs w:val="20"/>
              </w:rPr>
              <w:t>31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56CC9">
              <w:rPr>
                <w:rFonts w:asciiTheme="majorBidi" w:hAnsiTheme="majorBidi" w:cstheme="majorBidi"/>
                <w:sz w:val="20"/>
                <w:szCs w:val="20"/>
              </w:rPr>
              <w:t>October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956CC9">
              <w:rPr>
                <w:rFonts w:asciiTheme="majorBidi" w:hAnsiTheme="majorBidi" w:cstheme="majorBidi"/>
                <w:sz w:val="20"/>
                <w:szCs w:val="20"/>
              </w:rPr>
              <w:t>Zagazig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University, Egypt.</w:t>
            </w:r>
          </w:p>
          <w:p w:rsidR="003B13B3" w:rsidRPr="009B5DD9" w:rsidRDefault="003B13B3" w:rsidP="009B5DD9">
            <w:pPr>
              <w:pStyle w:val="ListParagraph"/>
              <w:numPr>
                <w:ilvl w:val="0"/>
                <w:numId w:val="6"/>
              </w:numPr>
              <w:ind w:left="72" w:hanging="9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B5DD9">
              <w:rPr>
                <w:rFonts w:asciiTheme="majorBidi" w:hAnsiTheme="majorBidi" w:cstheme="majorBidi"/>
                <w:sz w:val="20"/>
                <w:szCs w:val="20"/>
              </w:rPr>
              <w:t>Ph.D. o</w:t>
            </w:r>
            <w:r w:rsidR="00956CC9" w:rsidRPr="009B5DD9">
              <w:rPr>
                <w:rFonts w:asciiTheme="majorBidi" w:hAnsiTheme="majorBidi" w:cstheme="majorBidi"/>
                <w:sz w:val="20"/>
                <w:szCs w:val="20"/>
              </w:rPr>
              <w:t xml:space="preserve">f </w:t>
            </w:r>
            <w:r w:rsidRPr="009B5DD9">
              <w:rPr>
                <w:rFonts w:asciiTheme="majorBidi" w:hAnsiTheme="majorBidi" w:cstheme="majorBidi"/>
                <w:sz w:val="20"/>
                <w:szCs w:val="20"/>
              </w:rPr>
              <w:t xml:space="preserve">Vegetables, </w:t>
            </w:r>
            <w:r w:rsidR="00CC1428" w:rsidRPr="009B5DD9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9B5DD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C1428" w:rsidRPr="009B5DD9">
              <w:rPr>
                <w:rFonts w:asciiTheme="majorBidi" w:hAnsiTheme="majorBidi" w:cstheme="majorBidi"/>
                <w:sz w:val="20"/>
                <w:szCs w:val="20"/>
              </w:rPr>
              <w:t>May</w:t>
            </w:r>
            <w:r w:rsidR="009B5DD9" w:rsidRPr="009B5DD9">
              <w:rPr>
                <w:rFonts w:asciiTheme="majorBidi" w:hAnsiTheme="majorBidi" w:cstheme="majorBidi"/>
                <w:sz w:val="20"/>
                <w:szCs w:val="20"/>
              </w:rPr>
              <w:t xml:space="preserve"> 1988, Vi</w:t>
            </w:r>
            <w:r w:rsidR="00CC1428" w:rsidRPr="009B5DD9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9B5DD9" w:rsidRPr="009B5DD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CC1428" w:rsidRPr="009B5DD9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9B5DD9">
              <w:rPr>
                <w:rFonts w:asciiTheme="majorBidi" w:hAnsiTheme="majorBidi" w:cstheme="majorBidi"/>
                <w:sz w:val="20"/>
                <w:szCs w:val="20"/>
              </w:rPr>
              <w:t xml:space="preserve"> U</w:t>
            </w:r>
            <w:r w:rsidR="009B5DD9" w:rsidRPr="009B5DD9">
              <w:rPr>
                <w:rFonts w:asciiTheme="majorBidi" w:hAnsiTheme="majorBidi" w:cstheme="majorBidi"/>
                <w:sz w:val="20"/>
                <w:szCs w:val="20"/>
              </w:rPr>
              <w:t>niversity, Austria</w:t>
            </w:r>
            <w:r w:rsidRPr="009B5DD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3B13B3" w:rsidRPr="005B0CCB" w:rsidRDefault="003B13B3" w:rsidP="00ED011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9F63E0" w:rsidRPr="009F63E0" w:rsidRDefault="009F63E0" w:rsidP="009F63E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63E0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 </w:t>
            </w:r>
            <w:r w:rsidRPr="009F63E0">
              <w:rPr>
                <w:rFonts w:asciiTheme="majorBidi" w:hAnsiTheme="majorBidi" w:cstheme="majorBidi" w:hint="cs"/>
                <w:sz w:val="20"/>
                <w:szCs w:val="20"/>
                <w:rtl/>
              </w:rPr>
              <w:t>بكالوريوس العلوم الزراعية شعبة "بساتين" كلية الزراعة جامعة أسيوط يونيو 1968م بتقدير عام جيدجداً.</w:t>
            </w:r>
          </w:p>
          <w:p w:rsidR="009F63E0" w:rsidRPr="009F63E0" w:rsidRDefault="009F63E0" w:rsidP="009F63E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F63E0">
              <w:rPr>
                <w:rFonts w:asciiTheme="majorBidi" w:hAnsiTheme="majorBidi" w:cstheme="majorBidi" w:hint="cs"/>
                <w:sz w:val="20"/>
                <w:szCs w:val="20"/>
                <w:rtl/>
              </w:rPr>
              <w:t>ـ ماجستير العلوم الزراعية "خضر" كلية الزراعة جامعة الزقازيق31/10/ 1978م.</w:t>
            </w:r>
          </w:p>
          <w:p w:rsidR="009F63E0" w:rsidRPr="009F63E0" w:rsidRDefault="009F63E0" w:rsidP="009F63E0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63E0">
              <w:rPr>
                <w:rFonts w:asciiTheme="majorBidi" w:hAnsiTheme="majorBidi" w:cstheme="majorBidi" w:hint="cs"/>
                <w:sz w:val="20"/>
                <w:szCs w:val="20"/>
                <w:rtl/>
              </w:rPr>
              <w:t>ـ دكتوراه فلسفة فى العلوم الزراعية " خضر" جامعة فيينا ـ النمسا16/5/ 1988م.</w:t>
            </w:r>
          </w:p>
        </w:tc>
        <w:tc>
          <w:tcPr>
            <w:tcW w:w="1700" w:type="dxa"/>
          </w:tcPr>
          <w:p w:rsidR="003B13B3" w:rsidRPr="005B0CCB" w:rsidRDefault="003B13B3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المؤهلات العلمية:</w:t>
            </w:r>
          </w:p>
        </w:tc>
      </w:tr>
      <w:tr w:rsidR="003B13B3" w:rsidRPr="005B0CCB" w:rsidTr="003112F8">
        <w:trPr>
          <w:trHeight w:val="261"/>
          <w:jc w:val="center"/>
        </w:trPr>
        <w:tc>
          <w:tcPr>
            <w:tcW w:w="2065" w:type="dxa"/>
            <w:vMerge/>
          </w:tcPr>
          <w:p w:rsidR="003B13B3" w:rsidRPr="005B0CCB" w:rsidRDefault="003B13B3" w:rsidP="00245AA2">
            <w:pPr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13B3" w:rsidRPr="005B0CCB" w:rsidRDefault="003B13B3" w:rsidP="00245AA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position:</w:t>
            </w:r>
          </w:p>
        </w:tc>
        <w:tc>
          <w:tcPr>
            <w:tcW w:w="2790" w:type="dxa"/>
            <w:gridSpan w:val="4"/>
          </w:tcPr>
          <w:p w:rsidR="003B13B3" w:rsidRPr="005B0CCB" w:rsidRDefault="00956CC9" w:rsidP="00ED0112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Emeritus </w:t>
            </w:r>
            <w:r w:rsidR="003B13B3"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Professor</w:t>
            </w:r>
          </w:p>
        </w:tc>
        <w:tc>
          <w:tcPr>
            <w:tcW w:w="2593" w:type="dxa"/>
            <w:gridSpan w:val="2"/>
          </w:tcPr>
          <w:p w:rsidR="003B13B3" w:rsidRPr="005B0CCB" w:rsidRDefault="00956CC9" w:rsidP="00956CC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متفرغ</w:t>
            </w:r>
          </w:p>
        </w:tc>
        <w:tc>
          <w:tcPr>
            <w:tcW w:w="1700" w:type="dxa"/>
          </w:tcPr>
          <w:p w:rsidR="003B13B3" w:rsidRPr="005B0CCB" w:rsidRDefault="003B13B3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الوظيفة الحالية:</w:t>
            </w:r>
          </w:p>
        </w:tc>
      </w:tr>
      <w:tr w:rsidR="003B13B3" w:rsidRPr="005B0CCB" w:rsidTr="003112F8">
        <w:trPr>
          <w:trHeight w:val="261"/>
          <w:jc w:val="center"/>
        </w:trPr>
        <w:tc>
          <w:tcPr>
            <w:tcW w:w="2065" w:type="dxa"/>
            <w:vMerge/>
          </w:tcPr>
          <w:p w:rsidR="003B13B3" w:rsidRPr="005B0CCB" w:rsidRDefault="003B13B3" w:rsidP="00245AA2">
            <w:pPr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70" w:type="dxa"/>
            <w:gridSpan w:val="5"/>
          </w:tcPr>
          <w:p w:rsidR="003B13B3" w:rsidRPr="005B0CCB" w:rsidRDefault="003B13B3" w:rsidP="00ED011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Specialty:</w:t>
            </w:r>
          </w:p>
        </w:tc>
        <w:tc>
          <w:tcPr>
            <w:tcW w:w="4293" w:type="dxa"/>
            <w:gridSpan w:val="3"/>
          </w:tcPr>
          <w:p w:rsidR="003B13B3" w:rsidRPr="005B0CCB" w:rsidRDefault="003B13B3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مجال التميز البحثى والتخصص الدقيق:</w:t>
            </w:r>
          </w:p>
        </w:tc>
      </w:tr>
      <w:tr w:rsidR="003B13B3" w:rsidRPr="005B0CCB" w:rsidTr="003112F8">
        <w:trPr>
          <w:trHeight w:val="385"/>
          <w:jc w:val="center"/>
        </w:trPr>
        <w:tc>
          <w:tcPr>
            <w:tcW w:w="2065" w:type="dxa"/>
            <w:vMerge/>
          </w:tcPr>
          <w:p w:rsidR="003B13B3" w:rsidRPr="005B0CCB" w:rsidRDefault="003B13B3" w:rsidP="00245AA2">
            <w:pPr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70" w:type="dxa"/>
            <w:gridSpan w:val="5"/>
          </w:tcPr>
          <w:p w:rsidR="00753B63" w:rsidRPr="005B0CCB" w:rsidRDefault="00CA3C7A" w:rsidP="00B8257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>Production and Postharvest</w:t>
            </w:r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of Vegetables, Vegetables Q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>uality,</w:t>
            </w:r>
            <w:r w:rsidR="00B8257E">
              <w:rPr>
                <w:rFonts w:asciiTheme="majorBidi" w:hAnsiTheme="majorBidi" w:cstheme="majorBidi"/>
                <w:sz w:val="20"/>
                <w:szCs w:val="20"/>
              </w:rPr>
              <w:t xml:space="preserve"> Harvest and Maturity indices.</w:t>
            </w:r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The Research Interest: </w:t>
            </w:r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Postharvest Physiology and biology </w:t>
            </w:r>
            <w:r w:rsidR="00580774" w:rsidRPr="005B0CCB">
              <w:rPr>
                <w:rFonts w:asciiTheme="majorBidi" w:hAnsiTheme="majorBidi" w:cstheme="majorBidi"/>
                <w:sz w:val="20"/>
                <w:szCs w:val="20"/>
              </w:rPr>
              <w:t>of Vegetables</w:t>
            </w:r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>, Postharvest Quality of Vegetables, Modified Atmosphere Packaging o</w:t>
            </w:r>
            <w:r w:rsidR="00580774" w:rsidRPr="005B0CCB">
              <w:rPr>
                <w:rFonts w:asciiTheme="majorBidi" w:hAnsiTheme="majorBidi" w:cstheme="majorBidi"/>
                <w:sz w:val="20"/>
                <w:szCs w:val="20"/>
              </w:rPr>
              <w:t>f Vegetables</w:t>
            </w:r>
            <w:r w:rsidR="00B8257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Maturity of Vegetables</w:t>
            </w:r>
            <w:r w:rsidR="00B8257E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>Preh</w:t>
            </w:r>
            <w:r w:rsidR="00370B23" w:rsidRPr="005B0CCB">
              <w:rPr>
                <w:rFonts w:asciiTheme="majorBidi" w:hAnsiTheme="majorBidi" w:cstheme="majorBidi"/>
                <w:sz w:val="20"/>
                <w:szCs w:val="20"/>
              </w:rPr>
              <w:t>arvest</w:t>
            </w:r>
            <w:proofErr w:type="spellEnd"/>
            <w:r w:rsidR="00370B23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="00370B23" w:rsidRPr="005B0CCB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6B79D5" w:rsidRPr="005B0CCB">
              <w:rPr>
                <w:rFonts w:asciiTheme="majorBidi" w:hAnsiTheme="majorBidi" w:cstheme="majorBidi"/>
                <w:sz w:val="20"/>
                <w:szCs w:val="20"/>
              </w:rPr>
              <w:t>osthrvest</w:t>
            </w:r>
            <w:proofErr w:type="spellEnd"/>
            <w:r w:rsidR="006B79D5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factors on</w:t>
            </w:r>
            <w:r w:rsidR="00B8257E">
              <w:rPr>
                <w:rFonts w:asciiTheme="majorBidi" w:hAnsiTheme="majorBidi" w:cstheme="majorBidi"/>
                <w:sz w:val="20"/>
                <w:szCs w:val="20"/>
              </w:rPr>
              <w:t xml:space="preserve"> Vegetables</w:t>
            </w:r>
            <w:r w:rsidR="00653418" w:rsidRPr="005B0CC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5912F2"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P</w:t>
            </w:r>
            <w:r w:rsidR="00753B63" w:rsidRPr="005B0CCB">
              <w:rPr>
                <w:rFonts w:asciiTheme="majorBidi" w:hAnsiTheme="majorBidi" w:cstheme="majorBidi"/>
                <w:sz w:val="20"/>
                <w:szCs w:val="20"/>
              </w:rPr>
              <w:t>roduction of vegetables.</w:t>
            </w:r>
          </w:p>
          <w:p w:rsidR="003B13B3" w:rsidRPr="005B0CCB" w:rsidRDefault="003B13B3" w:rsidP="00753B63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3" w:type="dxa"/>
            <w:gridSpan w:val="3"/>
          </w:tcPr>
          <w:p w:rsidR="003B13B3" w:rsidRPr="005B0CCB" w:rsidRDefault="003B13B3" w:rsidP="00B8257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>إنتاج و تخزين ال</w:t>
            </w:r>
            <w:r w:rsidRPr="005B0CCB">
              <w:rPr>
                <w:rFonts w:asciiTheme="majorBidi" w:hAnsiTheme="majorBidi" w:cstheme="majorBidi" w:hint="cs"/>
                <w:sz w:val="20"/>
                <w:szCs w:val="20"/>
                <w:rtl/>
              </w:rPr>
              <w:t>خضر</w:t>
            </w: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>، تقييم جودة ال</w:t>
            </w:r>
            <w:r w:rsidRPr="005B0CCB">
              <w:rPr>
                <w:rFonts w:asciiTheme="majorBidi" w:hAnsiTheme="majorBidi" w:cstheme="majorBidi" w:hint="cs"/>
                <w:sz w:val="20"/>
                <w:szCs w:val="20"/>
                <w:rtl/>
              </w:rPr>
              <w:t>خضر</w:t>
            </w: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>، إجراء البحوث فى مجال إنتاج و فسيولوجيا و تخزين ال</w:t>
            </w:r>
            <w:r w:rsidRPr="005B0CCB">
              <w:rPr>
                <w:rFonts w:asciiTheme="majorBidi" w:hAnsiTheme="majorBidi" w:cstheme="majorBidi" w:hint="cs"/>
                <w:sz w:val="20"/>
                <w:szCs w:val="20"/>
                <w:rtl/>
              </w:rPr>
              <w:t>خضر</w:t>
            </w: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>، جودة الخضر، عوامل ما قبل و بعد الحصاد، تسميد ال</w:t>
            </w:r>
            <w:r w:rsidR="00B8257E">
              <w:rPr>
                <w:rFonts w:asciiTheme="majorBidi" w:hAnsiTheme="majorBidi" w:cstheme="majorBidi"/>
                <w:sz w:val="20"/>
                <w:szCs w:val="20"/>
                <w:rtl/>
              </w:rPr>
              <w:t>خضر، عبوات الجو الهوائى المعدل،</w:t>
            </w: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نضج و ح</w:t>
            </w:r>
            <w:r w:rsidR="00B8257E">
              <w:rPr>
                <w:rFonts w:asciiTheme="majorBidi" w:hAnsiTheme="majorBidi" w:cstheme="majorBidi"/>
                <w:sz w:val="20"/>
                <w:szCs w:val="20"/>
                <w:rtl/>
              </w:rPr>
              <w:t>صاد الخضر</w:t>
            </w: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>.</w:t>
            </w:r>
          </w:p>
          <w:p w:rsidR="003B13B3" w:rsidRPr="005B0CCB" w:rsidRDefault="003B13B3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E3C67" w:rsidRPr="005B0CCB" w:rsidTr="007E3C67">
        <w:trPr>
          <w:trHeight w:val="385"/>
          <w:jc w:val="center"/>
        </w:trPr>
        <w:tc>
          <w:tcPr>
            <w:tcW w:w="2065" w:type="dxa"/>
          </w:tcPr>
          <w:p w:rsidR="007E3C67" w:rsidRPr="005B0CCB" w:rsidRDefault="007E3C67" w:rsidP="004A6859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information:</w:t>
            </w:r>
          </w:p>
        </w:tc>
        <w:tc>
          <w:tcPr>
            <w:tcW w:w="2970" w:type="dxa"/>
            <w:gridSpan w:val="3"/>
          </w:tcPr>
          <w:p w:rsidR="007E3C67" w:rsidRPr="005B0CCB" w:rsidRDefault="007E3C67" w:rsidP="007E3C67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 Phone:</w:t>
            </w:r>
            <w:r w:rsidR="008F5FB2">
              <w:rPr>
                <w:rFonts w:asciiTheme="majorBidi" w:hAnsiTheme="majorBidi" w:cstheme="majorBidi"/>
                <w:sz w:val="20"/>
                <w:szCs w:val="20"/>
              </w:rPr>
              <w:t xml:space="preserve"> 00201224466627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</w:t>
            </w:r>
          </w:p>
        </w:tc>
        <w:tc>
          <w:tcPr>
            <w:tcW w:w="2610" w:type="dxa"/>
            <w:gridSpan w:val="3"/>
          </w:tcPr>
          <w:p w:rsidR="007E3C67" w:rsidRPr="005B0CCB" w:rsidRDefault="007E3C67" w:rsidP="003B0207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Fax:</w:t>
            </w:r>
            <w:r w:rsidRPr="005B0CCB">
              <w:rPr>
                <w:rFonts w:asciiTheme="majorBidi" w:hAnsiTheme="majorBidi" w:cstheme="majorBidi"/>
                <w:sz w:val="20"/>
                <w:szCs w:val="20"/>
                <w:lang w:val="it-IT" w:eastAsia="ja-JP"/>
              </w:rPr>
              <w:t xml:space="preserve"> 0020643201793</w:t>
            </w:r>
            <w:r w:rsidRPr="005B0CC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</w:tcPr>
          <w:p w:rsidR="007E3C67" w:rsidRPr="005B0CCB" w:rsidRDefault="007E3C67" w:rsidP="004A6923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E-mail:</w:t>
            </w:r>
            <w:r w:rsidR="008F5FB2">
              <w:rPr>
                <w:rFonts w:asciiTheme="majorBidi" w:hAnsiTheme="majorBidi" w:cstheme="majorBidi"/>
                <w:sz w:val="20"/>
                <w:szCs w:val="20"/>
              </w:rPr>
              <w:t xml:space="preserve"> skelseifi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>@hotmail.com</w:t>
            </w:r>
          </w:p>
        </w:tc>
      </w:tr>
      <w:tr w:rsidR="00661168" w:rsidRPr="005B0CCB" w:rsidTr="009E13C2">
        <w:trPr>
          <w:trHeight w:val="319"/>
          <w:jc w:val="center"/>
        </w:trPr>
        <w:tc>
          <w:tcPr>
            <w:tcW w:w="5701" w:type="dxa"/>
            <w:gridSpan w:val="5"/>
            <w:shd w:val="clear" w:color="auto" w:fill="D9D9D9" w:themeFill="background1" w:themeFillShade="D9"/>
          </w:tcPr>
          <w:p w:rsidR="00661168" w:rsidRPr="005B0CCB" w:rsidRDefault="00661168" w:rsidP="00245AA2">
            <w:pPr>
              <w:pStyle w:val="ListParagraph"/>
              <w:tabs>
                <w:tab w:val="left" w:pos="247"/>
              </w:tabs>
              <w:ind w:left="0" w:right="-2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Scientific Achievements:</w:t>
            </w:r>
          </w:p>
        </w:tc>
        <w:tc>
          <w:tcPr>
            <w:tcW w:w="5427" w:type="dxa"/>
            <w:gridSpan w:val="4"/>
            <w:shd w:val="clear" w:color="auto" w:fill="D9D9D9" w:themeFill="background1" w:themeFillShade="D9"/>
          </w:tcPr>
          <w:p w:rsidR="00661168" w:rsidRPr="005B0CCB" w:rsidRDefault="00661168" w:rsidP="00ED0112">
            <w:pPr>
              <w:pStyle w:val="ListParagraph"/>
              <w:tabs>
                <w:tab w:val="left" w:pos="247"/>
              </w:tabs>
              <w:bidi/>
              <w:ind w:left="0" w:right="-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2ـ الإنجازات العلمية</w:t>
            </w:r>
          </w:p>
        </w:tc>
      </w:tr>
      <w:tr w:rsidR="006A2D8C" w:rsidRPr="005B0CCB" w:rsidTr="003112F8">
        <w:trPr>
          <w:trHeight w:val="385"/>
          <w:jc w:val="center"/>
        </w:trPr>
        <w:tc>
          <w:tcPr>
            <w:tcW w:w="2065" w:type="dxa"/>
          </w:tcPr>
          <w:p w:rsidR="006A2D8C" w:rsidRPr="005B0CCB" w:rsidRDefault="006A2D8C" w:rsidP="00245AA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>ORCID No.</w:t>
            </w:r>
          </w:p>
        </w:tc>
        <w:tc>
          <w:tcPr>
            <w:tcW w:w="9063" w:type="dxa"/>
            <w:gridSpan w:val="8"/>
          </w:tcPr>
          <w:p w:rsidR="006A2D8C" w:rsidRPr="005B0CCB" w:rsidRDefault="006A2D8C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8448E" w:rsidRPr="005B0CCB" w:rsidTr="008749B1">
        <w:trPr>
          <w:trHeight w:val="385"/>
          <w:jc w:val="center"/>
        </w:trPr>
        <w:tc>
          <w:tcPr>
            <w:tcW w:w="9428" w:type="dxa"/>
            <w:gridSpan w:val="8"/>
          </w:tcPr>
          <w:p w:rsidR="0058448E" w:rsidRPr="005B0CCB" w:rsidRDefault="0058448E" w:rsidP="005844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>, S. K., 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Bassiouny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R. E.I., </w:t>
            </w:r>
            <w:r w:rsidRPr="006A007D">
              <w:rPr>
                <w:rFonts w:asciiTheme="majorBidi" w:hAnsiTheme="majorBidi" w:cstheme="majorBidi"/>
                <w:sz w:val="20"/>
                <w:szCs w:val="20"/>
              </w:rPr>
              <w:t>Nasef I. N.,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Hamada T. H. 2019. Extending storage period and shelf life and maintaining quality of dill using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microperforated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polypropylene packages.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Zagazig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J. Agric. Res., 46 (2):341-356.</w:t>
            </w:r>
          </w:p>
          <w:p w:rsidR="0058448E" w:rsidRPr="005B0CCB" w:rsidRDefault="0058448E" w:rsidP="005844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007D">
              <w:rPr>
                <w:rFonts w:asciiTheme="majorBidi" w:hAnsiTheme="majorBidi" w:cstheme="majorBidi"/>
                <w:sz w:val="20"/>
                <w:szCs w:val="20"/>
              </w:rPr>
              <w:t>Nasef, I.N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>, 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>, S. K., M. A. Hassan, R. E. I. 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Bassiouny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and  M.W.M</w:t>
            </w:r>
            <w:proofErr w:type="gram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. 2018. Effect of Modified Atmosphere Packaging on Storability, Shelf Life and Quality of Snow Peas.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Journal of Suez Canal University, 7 (2): 81-90.</w:t>
            </w:r>
          </w:p>
          <w:p w:rsidR="0058448E" w:rsidRPr="005B0CCB" w:rsidRDefault="0058448E" w:rsidP="005844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>, S. K., M. A. Hassan, R. E. I. 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Bassiouny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, M.W.M.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I.N.Nasef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2014. Effect of maturity stage on physical and chemical characteristics and on determination of harvest time of sugar snap pea pods. Journal of Plant Production,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Mansuora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University 2(5): 305-314.</w:t>
            </w:r>
          </w:p>
          <w:p w:rsidR="0058448E" w:rsidRPr="005B0CCB" w:rsidRDefault="0058448E" w:rsidP="005844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>, S. K., M. A. Hassan, R. E. I. El-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Bassiouny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, M.W.M.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I.N.Nasef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2014. Changes in Physical and Chemical Properties and determination of harvest time of snow peas as affected by pod development. Journal of Plant Production,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Mansuora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University 2(5): 315-324. </w:t>
            </w:r>
          </w:p>
          <w:p w:rsidR="0058448E" w:rsidRDefault="0058448E" w:rsidP="005844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, M.W.M., S. K. El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I.N.Nasef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and M. A. Hassan.2009. Effect of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azotobacter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and nitrogen levels on growth, yield and quality of broccoli (</w:t>
            </w:r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Brassica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oleracea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 xml:space="preserve"> var. </w:t>
            </w:r>
            <w:proofErr w:type="spellStart"/>
            <w:r w:rsidRPr="005B0CCB">
              <w:rPr>
                <w:rFonts w:asciiTheme="majorBidi" w:hAnsiTheme="majorBidi" w:cstheme="majorBidi"/>
                <w:sz w:val="20"/>
                <w:szCs w:val="20"/>
              </w:rPr>
              <w:t>italica</w:t>
            </w:r>
            <w:proofErr w:type="spellEnd"/>
            <w:r w:rsidRPr="005B0CCB">
              <w:rPr>
                <w:rFonts w:asciiTheme="majorBidi" w:hAnsiTheme="majorBidi" w:cstheme="majorBidi"/>
                <w:sz w:val="20"/>
                <w:szCs w:val="20"/>
              </w:rPr>
              <w:t>). Agriculture research Journal (SCU).9(1):81-90.</w:t>
            </w:r>
          </w:p>
          <w:p w:rsidR="0058448E" w:rsidRPr="006A007D" w:rsidRDefault="0058448E" w:rsidP="0058448E">
            <w:pPr>
              <w:numPr>
                <w:ilvl w:val="0"/>
                <w:numId w:val="7"/>
              </w:numPr>
              <w:tabs>
                <w:tab w:val="left" w:pos="450"/>
              </w:tabs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6A007D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Sawsan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M. H.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Serg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; U. M.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Saif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Deen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and M. A. Mohamed (2014). Effect of calcium, potassium and some antioxidants on growth, yield and storability of sweet potato: 1- Vegetative growth, yield and tuber root characteristics. Annals of Agric. Sci.,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Moshtohor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Vol</w:t>
            </w:r>
            <w:proofErr w:type="gram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>. 52 (1): 71 – 90.</w:t>
            </w:r>
          </w:p>
          <w:p w:rsidR="0058448E" w:rsidRPr="006A007D" w:rsidRDefault="0058448E" w:rsidP="0058448E">
            <w:pPr>
              <w:numPr>
                <w:ilvl w:val="0"/>
                <w:numId w:val="7"/>
              </w:numPr>
              <w:tabs>
                <w:tab w:val="left" w:pos="450"/>
              </w:tabs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6A007D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Sawsan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M. H.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Serg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; U. M.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Saif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Deen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and M. A. Mohamed (2014).Effect of calcium, potassium and some antioxidants on growth, yield and storability of sweet potato: 2- Chemical composition and storability of tuber roots during storage period. Annals of Agric. Sci.,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Moshtohor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Vol</w:t>
            </w:r>
            <w:proofErr w:type="gram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>. 52 (1):91-110.</w:t>
            </w:r>
          </w:p>
          <w:p w:rsidR="0058448E" w:rsidRPr="006A007D" w:rsidRDefault="0058448E" w:rsidP="0058448E">
            <w:pPr>
              <w:numPr>
                <w:ilvl w:val="0"/>
                <w:numId w:val="7"/>
              </w:numPr>
              <w:tabs>
                <w:tab w:val="left" w:pos="450"/>
              </w:tabs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6A007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M. W. M.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and S. A. M.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Melouk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(2015). Plant growth, fruit yield and mineral content of bottle gourd (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Lagenariasiceraria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M) as affected by plant density and nitrogen fertilizer.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J. of Suez Canal University. Vol. 3: 47 – 54.</w:t>
            </w:r>
          </w:p>
          <w:p w:rsidR="0058448E" w:rsidRPr="006A007D" w:rsidRDefault="0058448E" w:rsidP="0058448E">
            <w:pPr>
              <w:numPr>
                <w:ilvl w:val="0"/>
                <w:numId w:val="7"/>
              </w:numPr>
              <w:tabs>
                <w:tab w:val="left" w:pos="450"/>
              </w:tabs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M. W. M.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and O.G.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Haggag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(2015). Plant growth, yield, macro and micro- nutrients uptake of fennel (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Foeniculum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vulgar Mill) positively affected by N-sources and rates as well as foliar application of micronutrients.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J. of Suez Canal University. Vol. 4: 7 – 16.</w:t>
            </w:r>
          </w:p>
          <w:p w:rsidR="0058448E" w:rsidRPr="006A007D" w:rsidRDefault="0058448E" w:rsidP="0058448E">
            <w:pPr>
              <w:numPr>
                <w:ilvl w:val="0"/>
                <w:numId w:val="7"/>
              </w:numPr>
              <w:tabs>
                <w:tab w:val="left" w:pos="450"/>
              </w:tabs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6A007D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Sawsan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 xml:space="preserve"> M. H. </w:t>
            </w:r>
            <w:proofErr w:type="spellStart"/>
            <w:r w:rsidRPr="006A007D">
              <w:rPr>
                <w:rFonts w:asciiTheme="majorBidi" w:hAnsiTheme="majorBidi" w:cstheme="majorBidi"/>
                <w:sz w:val="20"/>
                <w:szCs w:val="20"/>
              </w:rPr>
              <w:t>Serg</w:t>
            </w:r>
            <w:proofErr w:type="spellEnd"/>
            <w:r w:rsidRPr="006A007D">
              <w:rPr>
                <w:rFonts w:asciiTheme="majorBidi" w:hAnsiTheme="majorBidi" w:cstheme="majorBidi"/>
                <w:sz w:val="20"/>
                <w:szCs w:val="20"/>
              </w:rPr>
              <w:t>; M. A. Mohamed. 2009. Some pre-planting treatments of seed cloves affecting on dry weight, yield and bulb quality under different planting dates. J. Agric. Sci. Mansoura Univ., 34(11): 10587-10603.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M. H. T. El-Nagar and M. M. A.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Farag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>. (2009). Effect of seed priming on lettuce seed storage. J. Agric.  Mansoura Univ., 34 (11): 10753 – 10760.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>, S. K.; M. A. Hassan and A. M. Al Saeed. (2013</w:t>
            </w:r>
            <w:r w:rsidRPr="0058448E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8448E">
              <w:rPr>
                <w:rFonts w:asciiTheme="majorBidi" w:hAnsiTheme="majorBidi" w:cstheme="majorBidi"/>
                <w:sz w:val="20"/>
                <w:szCs w:val="20"/>
              </w:rPr>
              <w:t>.Effect of foliar spray with some micronutrients on growth, yield and chemical composition of pigeon pea (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Cajanus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cajan</w:t>
            </w:r>
            <w:proofErr w:type="spellEnd"/>
            <w:proofErr w:type="gram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>) under Ismailia region conditions. J. Plant Production, Mansoura Univ., Vol. 4(4): 685 – 691.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>, S. K.; M. A. Hassan and A. M. Al Saeed. (2013</w:t>
            </w:r>
            <w:r w:rsidRPr="0058448E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. Effect of organic, mineral and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biofertilization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on growth, yield and chemical composition of pigeon pea (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Cajanus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cajan</w:t>
            </w:r>
            <w:proofErr w:type="spellEnd"/>
            <w:proofErr w:type="gram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) under Ismailia region conditions. J. Plant Production, Mansoura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Univ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gram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,Vol</w:t>
            </w:r>
            <w:proofErr w:type="gram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>. 4(4): 693 – 703.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K. E.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Abd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Hamed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and A. S. F. El-Sayed (2013</w:t>
            </w:r>
            <w:r w:rsidRPr="0058448E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Micropropagation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of asparagus: Explant type, plant growth regulators, rooting and acclimatization of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propagules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J. of Suez Canal University. Vol. 1: 95 – 107.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Fathy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E. L. E.;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M. W. and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Abd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Basir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A. E. (2013). 1- Protective effect of some bio-stimulants and anti-stressors on vegetative growth and mineral content of sweet pepper plants under natural heat stress condition.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J. of Suez Canal University. Vol. 1: 141 – 153.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Fathy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E. L. E.;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M. W. and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Abd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Basir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A. E. (2013). 2- Protective effect of some bio-stimulants and anti-stressors on photosynthetic pigments, bio-constituents content and flowering of sweet pepper plants under natural heat stress conditions.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J. of Suez Canal University. Vol. 1: 155 – 167.</w:t>
            </w:r>
          </w:p>
          <w:p w:rsidR="0058448E" w:rsidRPr="0058448E" w:rsidRDefault="0058448E" w:rsidP="005844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58448E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, S. K.; M. A. Hassan; 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Fathy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E. L. E.;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Elwan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M. W. and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Abd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El-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Basir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A. E. (2013). 3- Protective effect of some bio-stimulants and anti-stressors on fruit yield and its quality characteristics of sweet pepper plants under natural heat stress condition. </w:t>
            </w:r>
            <w:proofErr w:type="spellStart"/>
            <w:r w:rsidRPr="0058448E">
              <w:rPr>
                <w:rFonts w:asciiTheme="majorBidi" w:hAnsiTheme="majorBidi" w:cstheme="majorBidi"/>
                <w:sz w:val="20"/>
                <w:szCs w:val="20"/>
              </w:rPr>
              <w:t>Hortscience</w:t>
            </w:r>
            <w:proofErr w:type="spellEnd"/>
            <w:r w:rsidRPr="0058448E">
              <w:rPr>
                <w:rFonts w:asciiTheme="majorBidi" w:hAnsiTheme="majorBidi" w:cstheme="majorBidi"/>
                <w:sz w:val="20"/>
                <w:szCs w:val="20"/>
              </w:rPr>
              <w:t xml:space="preserve"> J. of Suez Canal University. Vol. 1: 169 – 180.</w:t>
            </w:r>
          </w:p>
        </w:tc>
        <w:tc>
          <w:tcPr>
            <w:tcW w:w="1700" w:type="dxa"/>
          </w:tcPr>
          <w:p w:rsidR="0058448E" w:rsidRDefault="0058448E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البحوث المحلية:</w:t>
            </w:r>
          </w:p>
          <w:p w:rsidR="00AB4E0F" w:rsidRPr="005B0CCB" w:rsidRDefault="00AB4E0F" w:rsidP="00AB4E0F">
            <w:pPr>
              <w:bidi/>
              <w:contextualSpacing/>
              <w:jc w:val="both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(بعض الأبحاث)</w:t>
            </w:r>
          </w:p>
        </w:tc>
      </w:tr>
      <w:tr w:rsidR="00387544" w:rsidRPr="005B0CCB" w:rsidTr="004C5762">
        <w:trPr>
          <w:trHeight w:val="385"/>
          <w:jc w:val="center"/>
        </w:trPr>
        <w:tc>
          <w:tcPr>
            <w:tcW w:w="9428" w:type="dxa"/>
            <w:gridSpan w:val="8"/>
          </w:tcPr>
          <w:p w:rsidR="00387544" w:rsidRPr="00387544" w:rsidRDefault="00387544" w:rsidP="0038754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25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6BA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Elwan</w:t>
            </w:r>
            <w:proofErr w:type="spellEnd"/>
            <w:r w:rsidRPr="00B16BA1">
              <w:rPr>
                <w:rFonts w:asciiTheme="majorBidi" w:hAnsiTheme="majorBidi" w:cstheme="majorBidi"/>
                <w:sz w:val="20"/>
                <w:szCs w:val="20"/>
              </w:rPr>
              <w:t xml:space="preserve">, M.W.M., </w:t>
            </w:r>
            <w:proofErr w:type="spellStart"/>
            <w:r w:rsidRPr="00B1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I.N.Nasef</w:t>
            </w:r>
            <w:proofErr w:type="spellEnd"/>
            <w:r w:rsidRPr="00B16BA1">
              <w:rPr>
                <w:rFonts w:asciiTheme="majorBidi" w:hAnsiTheme="majorBidi" w:cstheme="majorBidi"/>
                <w:sz w:val="20"/>
                <w:szCs w:val="20"/>
              </w:rPr>
              <w:t xml:space="preserve">, S. K. El </w:t>
            </w:r>
            <w:proofErr w:type="spellStart"/>
            <w:r w:rsidRPr="00B16BA1">
              <w:rPr>
                <w:rFonts w:asciiTheme="majorBidi" w:hAnsiTheme="majorBidi" w:cstheme="majorBidi"/>
                <w:sz w:val="20"/>
                <w:szCs w:val="20"/>
              </w:rPr>
              <w:t>Seifi</w:t>
            </w:r>
            <w:proofErr w:type="spellEnd"/>
            <w:r w:rsidRPr="00B16BA1">
              <w:rPr>
                <w:rFonts w:asciiTheme="majorBidi" w:hAnsiTheme="majorBidi" w:cstheme="majorBidi"/>
                <w:sz w:val="20"/>
                <w:szCs w:val="20"/>
              </w:rPr>
              <w:t xml:space="preserve">, M. A. Hassan and </w:t>
            </w:r>
            <w:proofErr w:type="spellStart"/>
            <w:r w:rsidRPr="00B16BA1">
              <w:rPr>
                <w:rFonts w:asciiTheme="majorBidi" w:hAnsiTheme="majorBidi" w:cstheme="majorBidi"/>
                <w:sz w:val="20"/>
                <w:szCs w:val="20"/>
              </w:rPr>
              <w:t>Rawia</w:t>
            </w:r>
            <w:proofErr w:type="spellEnd"/>
            <w:r w:rsidRPr="00B16BA1">
              <w:rPr>
                <w:rFonts w:asciiTheme="majorBidi" w:hAnsiTheme="majorBidi" w:cstheme="majorBidi"/>
                <w:sz w:val="20"/>
                <w:szCs w:val="20"/>
              </w:rPr>
              <w:t xml:space="preserve"> E. Ibrahim.2015. Storability, shelf-life and quality assurance of sugar snap peas (cv. Super sugar snap) using modified atmosphere packaging. Postharvest Biology and Technology 100: 205–211.</w:t>
            </w:r>
          </w:p>
        </w:tc>
        <w:tc>
          <w:tcPr>
            <w:tcW w:w="1700" w:type="dxa"/>
          </w:tcPr>
          <w:p w:rsidR="00387544" w:rsidRPr="005B0CCB" w:rsidRDefault="00387544" w:rsidP="00ED0112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البحوث على 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Scopus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D3B69" w:rsidRPr="005B0CCB" w:rsidTr="003112F8">
        <w:trPr>
          <w:trHeight w:val="385"/>
          <w:jc w:val="center"/>
        </w:trPr>
        <w:tc>
          <w:tcPr>
            <w:tcW w:w="2065" w:type="dxa"/>
          </w:tcPr>
          <w:p w:rsidR="00BD3B69" w:rsidRPr="005B0CCB" w:rsidRDefault="00BD3B69" w:rsidP="006F7934">
            <w:pPr>
              <w:pStyle w:val="ListParagraph"/>
              <w:numPr>
                <w:ilvl w:val="0"/>
                <w:numId w:val="2"/>
              </w:numPr>
              <w:tabs>
                <w:tab w:val="left" w:pos="157"/>
              </w:tabs>
              <w:ind w:left="0" w:right="-25" w:firstLine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Patents:</w:t>
            </w:r>
          </w:p>
        </w:tc>
        <w:tc>
          <w:tcPr>
            <w:tcW w:w="7363" w:type="dxa"/>
            <w:gridSpan w:val="7"/>
          </w:tcPr>
          <w:p w:rsidR="00BD3B69" w:rsidRPr="005B0CCB" w:rsidRDefault="00BD3B69" w:rsidP="00F1193A">
            <w:pPr>
              <w:pStyle w:val="ListParagraph"/>
              <w:tabs>
                <w:tab w:val="left" w:pos="247"/>
              </w:tabs>
              <w:bidi/>
              <w:ind w:left="0" w:right="-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 يوجد</w:t>
            </w:r>
          </w:p>
        </w:tc>
        <w:tc>
          <w:tcPr>
            <w:tcW w:w="1700" w:type="dxa"/>
          </w:tcPr>
          <w:p w:rsidR="00BD3B69" w:rsidRPr="005B0CCB" w:rsidRDefault="00BD3B69" w:rsidP="00BB736E">
            <w:pPr>
              <w:tabs>
                <w:tab w:val="left" w:pos="247"/>
              </w:tabs>
              <w:bidi/>
              <w:ind w:right="-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3-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براءات الاختراع:</w:t>
            </w:r>
          </w:p>
        </w:tc>
      </w:tr>
      <w:tr w:rsidR="006A2D8C" w:rsidRPr="005B0CCB" w:rsidTr="003112F8">
        <w:trPr>
          <w:trHeight w:val="278"/>
          <w:jc w:val="center"/>
        </w:trPr>
        <w:tc>
          <w:tcPr>
            <w:tcW w:w="2065" w:type="dxa"/>
            <w:shd w:val="clear" w:color="auto" w:fill="D9D9D9" w:themeFill="background1" w:themeFillShade="D9"/>
          </w:tcPr>
          <w:p w:rsidR="006A2D8C" w:rsidRPr="005B0CCB" w:rsidRDefault="006A2D8C" w:rsidP="006F7934">
            <w:pPr>
              <w:pStyle w:val="ListParagraph"/>
              <w:numPr>
                <w:ilvl w:val="0"/>
                <w:numId w:val="2"/>
              </w:numPr>
              <w:tabs>
                <w:tab w:val="left" w:pos="157"/>
              </w:tabs>
              <w:ind w:left="0" w:right="-25" w:firstLine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Supervision:</w:t>
            </w:r>
          </w:p>
        </w:tc>
        <w:tc>
          <w:tcPr>
            <w:tcW w:w="9063" w:type="dxa"/>
            <w:gridSpan w:val="8"/>
            <w:shd w:val="clear" w:color="auto" w:fill="D9D9D9" w:themeFill="background1" w:themeFillShade="D9"/>
          </w:tcPr>
          <w:p w:rsidR="006A2D8C" w:rsidRPr="005B0CCB" w:rsidRDefault="006A2D8C" w:rsidP="00BB736E">
            <w:pPr>
              <w:tabs>
                <w:tab w:val="left" w:pos="169"/>
              </w:tabs>
              <w:bidi/>
              <w:ind w:right="-2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4- 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قائمة الرسائل التى أشرف عليها:</w:t>
            </w:r>
            <w:r w:rsidR="00087F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87F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(عناوين بعض الرسائل)</w:t>
            </w:r>
          </w:p>
        </w:tc>
      </w:tr>
      <w:tr w:rsidR="00EF2854" w:rsidRPr="005B0CCB" w:rsidTr="00443769">
        <w:trPr>
          <w:trHeight w:val="385"/>
          <w:jc w:val="center"/>
        </w:trPr>
        <w:tc>
          <w:tcPr>
            <w:tcW w:w="11128" w:type="dxa"/>
            <w:gridSpan w:val="9"/>
          </w:tcPr>
          <w:p w:rsidR="00707407" w:rsidRPr="005B0CCB" w:rsidRDefault="00707407" w:rsidP="00707407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Ali Mohamed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abdelazez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Ayad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“ Response of Table Beet to Different Organic Culture Systems” at Department of Horticulture, Faculty of Agriculture, Suez Canal University.</w:t>
            </w:r>
          </w:p>
          <w:p w:rsidR="00707407" w:rsidRPr="005B0CCB" w:rsidRDefault="00707407" w:rsidP="00707407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Tassnim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Hamada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Hamada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“ Effect</w:t>
            </w:r>
            <w:proofErr w:type="gram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Postharvest Treatments on Quality of Dill” at Department of Horticulture, Faculty of Agriculture, Suez Canal University.</w:t>
            </w:r>
          </w:p>
          <w:p w:rsidR="00707407" w:rsidRPr="005B0CCB" w:rsidRDefault="00707407" w:rsidP="00707407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Ahamed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Mostafa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Kamel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“ Onion foliar Nutrition by Algal Extract Under Sandy Soil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Condtions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” at Department of Horticulture, Faculty of Agriculture, Suez Canal University.</w:t>
            </w:r>
          </w:p>
          <w:p w:rsidR="00707407" w:rsidRDefault="00707407" w:rsidP="00707407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Mahmoud Mohamed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Abdalla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Attia</w:t>
            </w:r>
            <w:proofErr w:type="spellEnd"/>
            <w:r w:rsidRPr="005B0C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“Effect of Compost Formulation and Some Supplementation to Casing Material on Yield and Quality of Button Mushroom” at Department of Horticulture, Faculty of Agriculture, Suez Canal University.</w:t>
            </w:r>
          </w:p>
          <w:p w:rsidR="00087F79" w:rsidRDefault="00087F79" w:rsidP="00707407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7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Effect of some agriculture treatments on plant growth, flowering traits and fruit and seed productivity of "CITRULLUS LANATUS VAR COLOCYNTHOIDES"</w:t>
            </w:r>
          </w:p>
          <w:p w:rsidR="00EF2854" w:rsidRPr="007663BD" w:rsidRDefault="00087F79" w:rsidP="007663BD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87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Effect of Some Agricultural Treatments on Plant Growth, Flowering Traits and Fruit Productivity of Bottle Gourd (</w:t>
            </w:r>
            <w:proofErr w:type="spellStart"/>
            <w:r w:rsidRPr="00087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Lagenaria</w:t>
            </w:r>
            <w:proofErr w:type="spellEnd"/>
            <w:r w:rsidRPr="00087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siceraria</w:t>
            </w:r>
            <w:proofErr w:type="spellEnd"/>
            <w:r w:rsidRPr="00087F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L.)</w:t>
            </w:r>
          </w:p>
        </w:tc>
      </w:tr>
      <w:tr w:rsidR="00CC5DAD" w:rsidRPr="005B0CCB" w:rsidTr="00661168">
        <w:trPr>
          <w:trHeight w:val="385"/>
          <w:jc w:val="center"/>
        </w:trPr>
        <w:tc>
          <w:tcPr>
            <w:tcW w:w="6835" w:type="dxa"/>
            <w:gridSpan w:val="6"/>
          </w:tcPr>
          <w:p w:rsidR="00CC5DAD" w:rsidRPr="005B0CCB" w:rsidRDefault="00CC5DAD" w:rsidP="00BD7824">
            <w:pPr>
              <w:bidi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رسائل الدكتوراه:</w:t>
            </w:r>
            <w:r w:rsidRPr="005B0C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7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93" w:type="dxa"/>
            <w:gridSpan w:val="3"/>
          </w:tcPr>
          <w:p w:rsidR="00BD7824" w:rsidRPr="005B0CCB" w:rsidRDefault="00CC5DAD" w:rsidP="00BD7824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رسائل الماجستير: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5B0C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78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</w:tr>
      <w:tr w:rsidR="000622A7" w:rsidRPr="005B0CCB" w:rsidTr="000622A7">
        <w:trPr>
          <w:trHeight w:val="385"/>
          <w:jc w:val="center"/>
        </w:trPr>
        <w:tc>
          <w:tcPr>
            <w:tcW w:w="4225" w:type="dxa"/>
            <w:gridSpan w:val="3"/>
          </w:tcPr>
          <w:p w:rsidR="000622A7" w:rsidRPr="005B0CCB" w:rsidRDefault="000622A7" w:rsidP="00BD3B69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B0CCB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الجهة الداعمة:</w:t>
            </w:r>
          </w:p>
        </w:tc>
        <w:tc>
          <w:tcPr>
            <w:tcW w:w="6903" w:type="dxa"/>
            <w:gridSpan w:val="6"/>
          </w:tcPr>
          <w:p w:rsidR="000622A7" w:rsidRPr="005B0CCB" w:rsidRDefault="000622A7" w:rsidP="00100207">
            <w:pPr>
              <w:bidi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المشاريع البحثية (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  <w:r w:rsidRPr="005B0C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):</w:t>
            </w:r>
            <w:r w:rsidRPr="005B0C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15716" w:rsidRPr="0001571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الإشتراك فى مشروع إستخدام و نقل التكنولوجيا الزراعية </w:t>
            </w:r>
            <w:r w:rsidR="00015716" w:rsidRPr="0001571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وزارة الزراعة واستصلاح الأراضى </w:t>
            </w:r>
            <w:r w:rsidR="00015716" w:rsidRPr="00015716">
              <w:rPr>
                <w:rFonts w:asciiTheme="majorBidi" w:hAnsiTheme="majorBidi" w:cstheme="majorBidi"/>
                <w:sz w:val="20"/>
                <w:szCs w:val="20"/>
                <w:rtl/>
              </w:rPr>
              <w:t>1997-1998م</w:t>
            </w:r>
            <w:r w:rsidR="00015716" w:rsidRPr="00015716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0622A7" w:rsidRPr="005B0CCB" w:rsidRDefault="000622A7" w:rsidP="00100207">
            <w:pPr>
              <w:bidi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12130A" w:rsidRDefault="0012130A" w:rsidP="0012130A">
      <w:pPr>
        <w:bidi/>
      </w:pPr>
    </w:p>
    <w:sectPr w:rsidR="0012130A" w:rsidSect="0015187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A2A"/>
    <w:multiLevelType w:val="hybridMultilevel"/>
    <w:tmpl w:val="E3221AEC"/>
    <w:lvl w:ilvl="0" w:tplc="589A8DD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AB3"/>
    <w:multiLevelType w:val="hybridMultilevel"/>
    <w:tmpl w:val="99746C3C"/>
    <w:lvl w:ilvl="0" w:tplc="2054B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E7D"/>
    <w:multiLevelType w:val="hybridMultilevel"/>
    <w:tmpl w:val="E794D654"/>
    <w:lvl w:ilvl="0" w:tplc="CD26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939"/>
    <w:multiLevelType w:val="hybridMultilevel"/>
    <w:tmpl w:val="6F94E296"/>
    <w:lvl w:ilvl="0" w:tplc="D73491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3755"/>
    <w:multiLevelType w:val="hybridMultilevel"/>
    <w:tmpl w:val="2A183D32"/>
    <w:lvl w:ilvl="0" w:tplc="539012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07B2"/>
    <w:multiLevelType w:val="hybridMultilevel"/>
    <w:tmpl w:val="FC10929C"/>
    <w:lvl w:ilvl="0" w:tplc="ECE25E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30BE6"/>
    <w:multiLevelType w:val="hybridMultilevel"/>
    <w:tmpl w:val="9984FA56"/>
    <w:lvl w:ilvl="0" w:tplc="68C49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75291"/>
    <w:multiLevelType w:val="hybridMultilevel"/>
    <w:tmpl w:val="B32AC744"/>
    <w:lvl w:ilvl="0" w:tplc="FCAE45A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4C3C"/>
    <w:multiLevelType w:val="hybridMultilevel"/>
    <w:tmpl w:val="2C1E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C6EC7"/>
    <w:multiLevelType w:val="hybridMultilevel"/>
    <w:tmpl w:val="E0BE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1D75"/>
    <w:multiLevelType w:val="hybridMultilevel"/>
    <w:tmpl w:val="6276B7DC"/>
    <w:lvl w:ilvl="0" w:tplc="67D6EE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6C06"/>
    <w:multiLevelType w:val="hybridMultilevel"/>
    <w:tmpl w:val="7CC6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16BD"/>
    <w:multiLevelType w:val="hybridMultilevel"/>
    <w:tmpl w:val="A44A4E76"/>
    <w:lvl w:ilvl="0" w:tplc="4EE2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82509"/>
    <w:multiLevelType w:val="hybridMultilevel"/>
    <w:tmpl w:val="DD187A0C"/>
    <w:lvl w:ilvl="0" w:tplc="12664D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8"/>
    <w:rsid w:val="0000683C"/>
    <w:rsid w:val="00015716"/>
    <w:rsid w:val="000211D2"/>
    <w:rsid w:val="0006159F"/>
    <w:rsid w:val="000622A7"/>
    <w:rsid w:val="00062BA9"/>
    <w:rsid w:val="00070CED"/>
    <w:rsid w:val="00087F79"/>
    <w:rsid w:val="000C6146"/>
    <w:rsid w:val="000E1CC2"/>
    <w:rsid w:val="000E566B"/>
    <w:rsid w:val="00100207"/>
    <w:rsid w:val="00105FB5"/>
    <w:rsid w:val="0012130A"/>
    <w:rsid w:val="0014467B"/>
    <w:rsid w:val="00151871"/>
    <w:rsid w:val="001C6778"/>
    <w:rsid w:val="001D21B4"/>
    <w:rsid w:val="002447F2"/>
    <w:rsid w:val="00245AA2"/>
    <w:rsid w:val="003112F8"/>
    <w:rsid w:val="003457B6"/>
    <w:rsid w:val="00370B23"/>
    <w:rsid w:val="00380B68"/>
    <w:rsid w:val="00387544"/>
    <w:rsid w:val="003B0207"/>
    <w:rsid w:val="003B13B3"/>
    <w:rsid w:val="00402014"/>
    <w:rsid w:val="00425756"/>
    <w:rsid w:val="00473621"/>
    <w:rsid w:val="0049598B"/>
    <w:rsid w:val="004A6859"/>
    <w:rsid w:val="004A6923"/>
    <w:rsid w:val="004B5D29"/>
    <w:rsid w:val="004C0E6F"/>
    <w:rsid w:val="004C55F2"/>
    <w:rsid w:val="004F6442"/>
    <w:rsid w:val="00557759"/>
    <w:rsid w:val="00580774"/>
    <w:rsid w:val="0058448E"/>
    <w:rsid w:val="005912F2"/>
    <w:rsid w:val="005B0CCB"/>
    <w:rsid w:val="005B70BE"/>
    <w:rsid w:val="006260FC"/>
    <w:rsid w:val="00643E57"/>
    <w:rsid w:val="00653418"/>
    <w:rsid w:val="00656992"/>
    <w:rsid w:val="00661168"/>
    <w:rsid w:val="00696828"/>
    <w:rsid w:val="006A007D"/>
    <w:rsid w:val="006A2D8C"/>
    <w:rsid w:val="006B79D5"/>
    <w:rsid w:val="006C5527"/>
    <w:rsid w:val="006D639B"/>
    <w:rsid w:val="006E7599"/>
    <w:rsid w:val="006F7934"/>
    <w:rsid w:val="00707407"/>
    <w:rsid w:val="00711966"/>
    <w:rsid w:val="00750CBD"/>
    <w:rsid w:val="00753B63"/>
    <w:rsid w:val="007663BD"/>
    <w:rsid w:val="00770218"/>
    <w:rsid w:val="00790550"/>
    <w:rsid w:val="007912B5"/>
    <w:rsid w:val="007C608C"/>
    <w:rsid w:val="007E3C67"/>
    <w:rsid w:val="00831BF1"/>
    <w:rsid w:val="00874B96"/>
    <w:rsid w:val="00892E83"/>
    <w:rsid w:val="008A1D74"/>
    <w:rsid w:val="008D7AFA"/>
    <w:rsid w:val="008F5FB2"/>
    <w:rsid w:val="008F634F"/>
    <w:rsid w:val="009435A9"/>
    <w:rsid w:val="00956CC9"/>
    <w:rsid w:val="0096518D"/>
    <w:rsid w:val="00967787"/>
    <w:rsid w:val="00967BDD"/>
    <w:rsid w:val="00970CA9"/>
    <w:rsid w:val="00975654"/>
    <w:rsid w:val="009962A1"/>
    <w:rsid w:val="009B5DD9"/>
    <w:rsid w:val="009D12A9"/>
    <w:rsid w:val="009D158A"/>
    <w:rsid w:val="009F63E0"/>
    <w:rsid w:val="00A13D79"/>
    <w:rsid w:val="00A20D87"/>
    <w:rsid w:val="00A967F8"/>
    <w:rsid w:val="00AA4BB5"/>
    <w:rsid w:val="00AB3834"/>
    <w:rsid w:val="00AB4E0F"/>
    <w:rsid w:val="00AF1473"/>
    <w:rsid w:val="00B16BA1"/>
    <w:rsid w:val="00B246D1"/>
    <w:rsid w:val="00B310B4"/>
    <w:rsid w:val="00B8257E"/>
    <w:rsid w:val="00BA488C"/>
    <w:rsid w:val="00BB0BDD"/>
    <w:rsid w:val="00BB736E"/>
    <w:rsid w:val="00BD3B69"/>
    <w:rsid w:val="00BD7824"/>
    <w:rsid w:val="00C04E6E"/>
    <w:rsid w:val="00C15DD8"/>
    <w:rsid w:val="00CA3C7A"/>
    <w:rsid w:val="00CB3CE7"/>
    <w:rsid w:val="00CC1428"/>
    <w:rsid w:val="00CC5DAD"/>
    <w:rsid w:val="00D244F8"/>
    <w:rsid w:val="00D26A3E"/>
    <w:rsid w:val="00DB6659"/>
    <w:rsid w:val="00DD353E"/>
    <w:rsid w:val="00E603D4"/>
    <w:rsid w:val="00E72A7A"/>
    <w:rsid w:val="00EA34A5"/>
    <w:rsid w:val="00EB20CD"/>
    <w:rsid w:val="00EB2B92"/>
    <w:rsid w:val="00ED0112"/>
    <w:rsid w:val="00ED68D6"/>
    <w:rsid w:val="00EF2854"/>
    <w:rsid w:val="00F051F6"/>
    <w:rsid w:val="00F1193A"/>
    <w:rsid w:val="00F35209"/>
    <w:rsid w:val="00F44808"/>
    <w:rsid w:val="00FB665E"/>
    <w:rsid w:val="00FD63C4"/>
    <w:rsid w:val="00FE2619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DE60-4FF8-4011-8426-45429EA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53B63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BA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53B63"/>
    <w:rPr>
      <w:rFonts w:ascii="Times New Roman" w:eastAsia="SimSun" w:hAnsi="Times New Roman" w:cs="Times New Roman"/>
      <w:b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643E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E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CE16-A46B-4F19-9B69-D158C69C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Nasef</dc:creator>
  <cp:keywords/>
  <dc:description/>
  <cp:lastModifiedBy>Nasef</cp:lastModifiedBy>
  <cp:revision>160</cp:revision>
  <cp:lastPrinted>2020-05-03T10:34:00Z</cp:lastPrinted>
  <dcterms:created xsi:type="dcterms:W3CDTF">2020-04-26T20:48:00Z</dcterms:created>
  <dcterms:modified xsi:type="dcterms:W3CDTF">2020-05-03T10:40:00Z</dcterms:modified>
</cp:coreProperties>
</file>